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03568" w14:textId="75E376DB" w:rsidR="001C3B05" w:rsidRPr="00F20DDC" w:rsidRDefault="00F20DDC" w:rsidP="00B31EE1">
      <w:pPr>
        <w:jc w:val="center"/>
        <w:rPr>
          <w:b/>
          <w:bCs/>
          <w:sz w:val="28"/>
          <w:lang w:val="en-US"/>
        </w:rPr>
      </w:pPr>
      <w:r w:rsidRPr="00F20DDC">
        <w:rPr>
          <w:b/>
          <w:bCs/>
          <w:sz w:val="28"/>
          <w:lang w:val="en-US"/>
        </w:rPr>
        <w:t>CERTIFICATE EXAMINATION IN MICROFINANCE</w:t>
      </w:r>
    </w:p>
    <w:tbl>
      <w:tblPr>
        <w:tblW w:w="11058" w:type="dxa"/>
        <w:tblInd w:w="-998" w:type="dxa"/>
        <w:tblLook w:val="04A0" w:firstRow="1" w:lastRow="0" w:firstColumn="1" w:lastColumn="0" w:noHBand="0" w:noVBand="1"/>
      </w:tblPr>
      <w:tblGrid>
        <w:gridCol w:w="993"/>
        <w:gridCol w:w="10065"/>
      </w:tblGrid>
      <w:tr w:rsidR="00B31EE1" w:rsidRPr="00B31EE1" w14:paraId="1CB0C9A2" w14:textId="77777777" w:rsidTr="00B31EE1">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14458" w14:textId="1115B2C6" w:rsidR="00B31EE1" w:rsidRPr="00B31EE1" w:rsidRDefault="00B31EE1" w:rsidP="00B31EE1">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10065" w:type="dxa"/>
            <w:tcBorders>
              <w:top w:val="single" w:sz="4" w:space="0" w:color="auto"/>
              <w:left w:val="nil"/>
              <w:bottom w:val="single" w:sz="4" w:space="0" w:color="auto"/>
              <w:right w:val="single" w:sz="4" w:space="0" w:color="auto"/>
            </w:tcBorders>
            <w:shd w:val="clear" w:color="auto" w:fill="auto"/>
            <w:vAlign w:val="center"/>
          </w:tcPr>
          <w:p w14:paraId="04B7DD48" w14:textId="219FD9AB" w:rsidR="00B31EE1" w:rsidRPr="00B31EE1" w:rsidRDefault="00B31EE1" w:rsidP="00B31EE1">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B31EE1" w:rsidRPr="00B31EE1" w14:paraId="660DFE69" w14:textId="77777777" w:rsidTr="00B31EE1">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02ACE" w14:textId="29588853"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single" w:sz="4" w:space="0" w:color="auto"/>
              <w:left w:val="nil"/>
              <w:bottom w:val="single" w:sz="4" w:space="0" w:color="auto"/>
              <w:right w:val="single" w:sz="4" w:space="0" w:color="auto"/>
            </w:tcBorders>
            <w:shd w:val="clear" w:color="auto" w:fill="auto"/>
            <w:vAlign w:val="center"/>
          </w:tcPr>
          <w:p w14:paraId="79770529" w14:textId="1ADC959A"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Reserve Bank of India (Financial Statements - Presentation and Disclosures) Directions, 2021 - Disclosures for State Co-operative Banks and Central Co-operative Banks</w:t>
            </w:r>
          </w:p>
        </w:tc>
      </w:tr>
      <w:tr w:rsidR="00B31EE1" w:rsidRPr="00B31EE1" w14:paraId="544234E0"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534015A" w14:textId="44729CA3"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7724A7B1"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Master Circular on Credit Facilities to Minority Communities</w:t>
            </w:r>
          </w:p>
        </w:tc>
      </w:tr>
      <w:tr w:rsidR="00B31EE1" w:rsidRPr="00B31EE1" w14:paraId="1FE2143F"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AF34DB8" w14:textId="7BEFF3CD"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32F9453D"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Master Circular - Credit facilities to Scheduled Castes (SCs) &amp; Scheduled Tribes (STs)</w:t>
            </w:r>
          </w:p>
        </w:tc>
      </w:tr>
      <w:tr w:rsidR="00B31EE1" w:rsidRPr="00B31EE1" w14:paraId="552D74CB"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F2F7B9F" w14:textId="3F68F077"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1BA64839"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Master Circular on SHG-Bank Linkage Programme</w:t>
            </w:r>
          </w:p>
        </w:tc>
      </w:tr>
      <w:tr w:rsidR="00B31EE1" w:rsidRPr="00B31EE1" w14:paraId="67C30A0E"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BE67187" w14:textId="37DDDBC6"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629E2374"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Master Circular - Guarantees and Co-acceptances</w:t>
            </w:r>
          </w:p>
        </w:tc>
      </w:tr>
      <w:tr w:rsidR="00B31EE1" w:rsidRPr="00B31EE1" w14:paraId="2B8190F5"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065B106" w14:textId="55450CE6"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18450946"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Master Circular - Bank Finance to Non-Banking Financial Companies (NBFCs)</w:t>
            </w:r>
          </w:p>
        </w:tc>
      </w:tr>
      <w:tr w:rsidR="00B31EE1" w:rsidRPr="00B31EE1" w14:paraId="08A6E255"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4A2C845" w14:textId="550CC8D1"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13E9BA90"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Master Circular- Prudential Norms on Capital Adequacy - Primary (Urban) Co-operative Banks (UCBs)</w:t>
            </w:r>
          </w:p>
        </w:tc>
      </w:tr>
      <w:tr w:rsidR="00B31EE1" w:rsidRPr="00B31EE1" w14:paraId="4D0F03A9"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5459D51" w14:textId="6680DE07"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5AB0D602"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Provisioning for standard assets by primary (Urban) co-operative banks - revised norms under four-tiered regulatory framework</w:t>
            </w:r>
          </w:p>
        </w:tc>
      </w:tr>
      <w:tr w:rsidR="00B31EE1" w:rsidRPr="00B31EE1" w14:paraId="0241FE96"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40C4AAD" w14:textId="78D2A627"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7699B858"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General Credit Card (GCC) Facility - Review</w:t>
            </w:r>
          </w:p>
        </w:tc>
      </w:tr>
      <w:tr w:rsidR="00B31EE1" w:rsidRPr="00B31EE1" w14:paraId="0C3C2B67"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8D06249" w14:textId="443D30C9"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2D57614A"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 xml:space="preserve">Master Circular - </w:t>
            </w:r>
            <w:proofErr w:type="spellStart"/>
            <w:r w:rsidRPr="00B31EE1">
              <w:rPr>
                <w:rFonts w:ascii="Calibri" w:eastAsia="Times New Roman" w:hAnsi="Calibri" w:cs="Calibri"/>
                <w:color w:val="000000"/>
                <w:kern w:val="0"/>
                <w:sz w:val="24"/>
                <w:szCs w:val="24"/>
                <w:lang w:eastAsia="en-IN"/>
                <w14:ligatures w14:val="none"/>
              </w:rPr>
              <w:t>Deendayal</w:t>
            </w:r>
            <w:proofErr w:type="spellEnd"/>
            <w:r w:rsidRPr="00B31EE1">
              <w:rPr>
                <w:rFonts w:ascii="Calibri" w:eastAsia="Times New Roman" w:hAnsi="Calibri" w:cs="Calibri"/>
                <w:color w:val="000000"/>
                <w:kern w:val="0"/>
                <w:sz w:val="24"/>
                <w:szCs w:val="24"/>
                <w:lang w:eastAsia="en-IN"/>
                <w14:ligatures w14:val="none"/>
              </w:rPr>
              <w:t xml:space="preserve"> </w:t>
            </w:r>
            <w:proofErr w:type="spellStart"/>
            <w:r w:rsidRPr="00B31EE1">
              <w:rPr>
                <w:rFonts w:ascii="Calibri" w:eastAsia="Times New Roman" w:hAnsi="Calibri" w:cs="Calibri"/>
                <w:color w:val="000000"/>
                <w:kern w:val="0"/>
                <w:sz w:val="24"/>
                <w:szCs w:val="24"/>
                <w:lang w:eastAsia="en-IN"/>
                <w14:ligatures w14:val="none"/>
              </w:rPr>
              <w:t>Antyodaya</w:t>
            </w:r>
            <w:proofErr w:type="spellEnd"/>
            <w:r w:rsidRPr="00B31EE1">
              <w:rPr>
                <w:rFonts w:ascii="Calibri" w:eastAsia="Times New Roman" w:hAnsi="Calibri" w:cs="Calibri"/>
                <w:color w:val="000000"/>
                <w:kern w:val="0"/>
                <w:sz w:val="24"/>
                <w:szCs w:val="24"/>
                <w:lang w:eastAsia="en-IN"/>
                <w14:ligatures w14:val="none"/>
              </w:rPr>
              <w:t xml:space="preserve"> </w:t>
            </w:r>
            <w:proofErr w:type="spellStart"/>
            <w:r w:rsidRPr="00B31EE1">
              <w:rPr>
                <w:rFonts w:ascii="Calibri" w:eastAsia="Times New Roman" w:hAnsi="Calibri" w:cs="Calibri"/>
                <w:color w:val="000000"/>
                <w:kern w:val="0"/>
                <w:sz w:val="24"/>
                <w:szCs w:val="24"/>
                <w:lang w:eastAsia="en-IN"/>
                <w14:ligatures w14:val="none"/>
              </w:rPr>
              <w:t>Yojana</w:t>
            </w:r>
            <w:proofErr w:type="spellEnd"/>
            <w:r w:rsidRPr="00B31EE1">
              <w:rPr>
                <w:rFonts w:ascii="Calibri" w:eastAsia="Times New Roman" w:hAnsi="Calibri" w:cs="Calibri"/>
                <w:color w:val="000000"/>
                <w:kern w:val="0"/>
                <w:sz w:val="24"/>
                <w:szCs w:val="24"/>
                <w:lang w:eastAsia="en-IN"/>
                <w14:ligatures w14:val="none"/>
              </w:rPr>
              <w:t xml:space="preserve"> - National Rural Livelihoods Mission (DAY-NRLM)</w:t>
            </w:r>
          </w:p>
        </w:tc>
      </w:tr>
      <w:tr w:rsidR="00B31EE1" w:rsidRPr="00B31EE1" w14:paraId="0C4FF215"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B59C7E2" w14:textId="7A856A5B"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3E563585"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Formalisation of Informal Micro Enterprises on Udyam Assist Platform</w:t>
            </w:r>
          </w:p>
        </w:tc>
      </w:tr>
      <w:tr w:rsidR="00B31EE1" w:rsidRPr="00B31EE1" w14:paraId="0F0C2B02"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206BD08" w14:textId="6B4E0F01"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078EDEF6"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Framework for Compromise Settlements and Technical Write-offs</w:t>
            </w:r>
          </w:p>
        </w:tc>
      </w:tr>
      <w:tr w:rsidR="00B31EE1" w:rsidRPr="00B31EE1" w14:paraId="77318DC7" w14:textId="77777777" w:rsidTr="00B31EE1">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0DAA293" w14:textId="2CA29393" w:rsidR="00B31EE1" w:rsidRPr="00B31EE1" w:rsidRDefault="00B31EE1" w:rsidP="00B31EE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3E9BB9BE" w14:textId="77777777" w:rsidR="00B31EE1" w:rsidRPr="00B31EE1" w:rsidRDefault="00B31EE1" w:rsidP="00B31EE1">
            <w:pPr>
              <w:spacing w:after="0" w:line="240" w:lineRule="auto"/>
              <w:rPr>
                <w:rFonts w:ascii="Calibri" w:eastAsia="Times New Roman" w:hAnsi="Calibri" w:cs="Calibri"/>
                <w:color w:val="000000"/>
                <w:kern w:val="0"/>
                <w:sz w:val="24"/>
                <w:szCs w:val="24"/>
                <w:lang w:eastAsia="en-IN"/>
                <w14:ligatures w14:val="none"/>
              </w:rPr>
            </w:pPr>
            <w:r w:rsidRPr="00B31EE1">
              <w:rPr>
                <w:rFonts w:ascii="Calibri" w:eastAsia="Times New Roman" w:hAnsi="Calibri" w:cs="Calibri"/>
                <w:color w:val="000000"/>
                <w:kern w:val="0"/>
                <w:sz w:val="24"/>
                <w:szCs w:val="24"/>
                <w:lang w:eastAsia="en-IN"/>
                <w14:ligatures w14:val="none"/>
              </w:rPr>
              <w:t>Priority Sector Lending (PSL) targets / sub-targets and contribution against shortfall in achievement of PSL targets - Primary (Urban) Co-operative Banks (UCBs) - Extension of time</w:t>
            </w:r>
          </w:p>
        </w:tc>
      </w:tr>
    </w:tbl>
    <w:p w14:paraId="32B0FAB6" w14:textId="77777777" w:rsidR="00B31EE1" w:rsidRDefault="00B31EE1" w:rsidP="00B31EE1">
      <w:pPr>
        <w:rPr>
          <w:b/>
          <w:bCs/>
          <w:lang w:val="en-US"/>
        </w:rPr>
      </w:pPr>
    </w:p>
    <w:p w14:paraId="76C4F37F" w14:textId="77777777" w:rsidR="003B4D49" w:rsidRDefault="003B4D49" w:rsidP="00B31EE1">
      <w:pPr>
        <w:rPr>
          <w:b/>
          <w:bCs/>
          <w:lang w:val="en-US"/>
        </w:rPr>
      </w:pPr>
    </w:p>
    <w:p w14:paraId="288F9577" w14:textId="77777777" w:rsidR="003B4D49" w:rsidRDefault="003B4D49" w:rsidP="00B31EE1">
      <w:pPr>
        <w:rPr>
          <w:b/>
          <w:bCs/>
          <w:lang w:val="en-US"/>
        </w:rPr>
      </w:pPr>
    </w:p>
    <w:p w14:paraId="0545B2BC" w14:textId="77777777" w:rsidR="003B4D49" w:rsidRDefault="003B4D49" w:rsidP="00B31EE1">
      <w:pPr>
        <w:rPr>
          <w:b/>
          <w:bCs/>
          <w:lang w:val="en-US"/>
        </w:rPr>
      </w:pPr>
    </w:p>
    <w:p w14:paraId="72346C19" w14:textId="77777777" w:rsidR="003B4D49" w:rsidRDefault="003B4D49" w:rsidP="00B31EE1">
      <w:pPr>
        <w:rPr>
          <w:b/>
          <w:bCs/>
          <w:lang w:val="en-US"/>
        </w:rPr>
      </w:pPr>
    </w:p>
    <w:p w14:paraId="5B611FD2" w14:textId="77777777" w:rsidR="003B4D49" w:rsidRDefault="003B4D49" w:rsidP="00B31EE1">
      <w:pPr>
        <w:rPr>
          <w:b/>
          <w:bCs/>
          <w:lang w:val="en-US"/>
        </w:rPr>
      </w:pPr>
    </w:p>
    <w:p w14:paraId="2752CCEC" w14:textId="77777777" w:rsidR="003B4D49" w:rsidRDefault="003B4D49" w:rsidP="00B31EE1">
      <w:pPr>
        <w:rPr>
          <w:b/>
          <w:bCs/>
          <w:lang w:val="en-US"/>
        </w:rPr>
      </w:pPr>
    </w:p>
    <w:p w14:paraId="56A5F4A3" w14:textId="77777777" w:rsidR="003B4D49" w:rsidRDefault="003B4D49" w:rsidP="00B31EE1">
      <w:pPr>
        <w:rPr>
          <w:b/>
          <w:bCs/>
          <w:lang w:val="en-US"/>
        </w:rPr>
      </w:pPr>
    </w:p>
    <w:p w14:paraId="19F8E53C" w14:textId="77777777" w:rsidR="003B4D49" w:rsidRDefault="003B4D49" w:rsidP="00B31EE1">
      <w:pPr>
        <w:rPr>
          <w:b/>
          <w:bCs/>
          <w:lang w:val="en-US"/>
        </w:rPr>
      </w:pPr>
    </w:p>
    <w:p w14:paraId="2C0BB9F9" w14:textId="77777777" w:rsidR="003B4D49" w:rsidRDefault="003B4D49" w:rsidP="00B31EE1">
      <w:pPr>
        <w:rPr>
          <w:b/>
          <w:bCs/>
          <w:lang w:val="en-US"/>
        </w:rPr>
      </w:pPr>
    </w:p>
    <w:p w14:paraId="2F03DE90" w14:textId="77777777" w:rsidR="003B4D49" w:rsidRDefault="003B4D49" w:rsidP="00B31EE1">
      <w:pPr>
        <w:rPr>
          <w:b/>
          <w:bCs/>
          <w:lang w:val="en-US"/>
        </w:rPr>
      </w:pPr>
    </w:p>
    <w:p w14:paraId="789BBC10" w14:textId="77777777" w:rsidR="003B4D49" w:rsidRDefault="003B4D49" w:rsidP="00B31EE1">
      <w:pPr>
        <w:rPr>
          <w:b/>
          <w:bCs/>
          <w:lang w:val="en-US"/>
        </w:rPr>
      </w:pPr>
    </w:p>
    <w:p w14:paraId="27BCA222" w14:textId="77777777" w:rsidR="003B4D49" w:rsidRDefault="003B4D49" w:rsidP="00B31EE1">
      <w:pPr>
        <w:rPr>
          <w:b/>
          <w:bCs/>
          <w:lang w:val="en-US"/>
        </w:rPr>
      </w:pPr>
    </w:p>
    <w:p w14:paraId="6EB8EB4A" w14:textId="77777777" w:rsidR="003B4D49" w:rsidRDefault="003B4D49" w:rsidP="00B31EE1">
      <w:pPr>
        <w:rPr>
          <w:b/>
          <w:bCs/>
          <w:lang w:val="en-US"/>
        </w:rPr>
      </w:pPr>
    </w:p>
    <w:p w14:paraId="4EE4676F" w14:textId="77777777" w:rsidR="003B4D49" w:rsidRDefault="003B4D49" w:rsidP="00B31EE1">
      <w:pPr>
        <w:rPr>
          <w:b/>
          <w:bCs/>
          <w:lang w:val="en-US"/>
        </w:rPr>
      </w:pPr>
    </w:p>
    <w:p w14:paraId="3E353794" w14:textId="77777777" w:rsidR="003B4D49" w:rsidRDefault="003B4D49" w:rsidP="00B31EE1">
      <w:pPr>
        <w:rPr>
          <w:b/>
          <w:bCs/>
          <w:lang w:val="en-US"/>
        </w:rPr>
      </w:pPr>
    </w:p>
    <w:p w14:paraId="5436A6E3" w14:textId="77777777" w:rsidR="003B4D49" w:rsidRDefault="003B4D49" w:rsidP="00B31EE1">
      <w:pPr>
        <w:rPr>
          <w:b/>
          <w:bCs/>
          <w:lang w:val="en-US"/>
        </w:rPr>
      </w:pPr>
    </w:p>
    <w:p w14:paraId="400B2F35" w14:textId="77777777" w:rsidR="003B4D49" w:rsidRDefault="003B4D49" w:rsidP="00B31EE1">
      <w:pPr>
        <w:rPr>
          <w:b/>
          <w:bCs/>
          <w:lang w:val="en-US"/>
        </w:rPr>
      </w:pPr>
    </w:p>
    <w:p w14:paraId="79AC0B07" w14:textId="77777777" w:rsidR="003B4D49" w:rsidRDefault="003B4D49" w:rsidP="00B31EE1">
      <w:pPr>
        <w:rPr>
          <w:b/>
          <w:bCs/>
          <w:lang w:val="en-US"/>
        </w:rPr>
      </w:pPr>
    </w:p>
    <w:p w14:paraId="1E6102C1" w14:textId="77777777" w:rsidR="003B4D49" w:rsidRDefault="003B4D49" w:rsidP="003B4D49">
      <w:pPr>
        <w:pStyle w:val="NormalWeb"/>
        <w:rPr>
          <w:rFonts w:ascii="Arial" w:hAnsi="Arial" w:cs="Arial"/>
          <w:b/>
          <w:bCs/>
          <w:color w:val="000000"/>
          <w:sz w:val="20"/>
          <w:szCs w:val="20"/>
        </w:rPr>
      </w:pPr>
      <w:bookmarkStart w:id="0" w:name="OLE_LINK25"/>
      <w:bookmarkStart w:id="1" w:name="_Hlk141828495"/>
      <w:r>
        <w:rPr>
          <w:rFonts w:ascii="Arial" w:hAnsi="Arial" w:cs="Arial"/>
          <w:b/>
          <w:bCs/>
          <w:color w:val="000000"/>
          <w:sz w:val="20"/>
          <w:szCs w:val="20"/>
        </w:rPr>
        <w:t>Reserve Bank of India (Financial Statements - Presentation and Disclosures) Directions, 2021 – Disclosures for State Co-operative Banks and Central Co-operative Banks</w:t>
      </w:r>
    </w:p>
    <w:bookmarkEnd w:id="0"/>
    <w:p w14:paraId="0AB37936"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RBI/2022-23/181</w:t>
      </w:r>
      <w:r>
        <w:rPr>
          <w:rFonts w:ascii="Arial" w:hAnsi="Arial" w:cs="Arial"/>
          <w:color w:val="000000"/>
          <w:sz w:val="20"/>
          <w:szCs w:val="20"/>
        </w:rPr>
        <w:br/>
        <w:t>DOR.ACC.REC.No.103/21.04.018/2022-23</w:t>
      </w:r>
    </w:p>
    <w:p w14:paraId="223DD0F4"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February 20, 2023</w:t>
      </w:r>
    </w:p>
    <w:p w14:paraId="3885ED4B"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 / Dear Sir,</w:t>
      </w:r>
    </w:p>
    <w:p w14:paraId="04ED291F"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Disclosures for State Co-operative Banks and Central Co-operative Banks</w:t>
      </w:r>
    </w:p>
    <w:p w14:paraId="194F39B2"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The </w:t>
      </w:r>
      <w:hyperlink r:id="rId5"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(‘Master Direction’) are applicable to Commercial Banks and Primary Urban Co-operative Banks (UCBs). They harmonize the regulatory instructions on presentation and disclosure in financial statements across the banking sector.</w:t>
      </w:r>
    </w:p>
    <w:p w14:paraId="0F651452"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2. In consultation with the National Bank for Agriculture and Rural Development (NABARD), it has now been decided to make this Master Direction also applicable to State Cooperative Banks and Central Cooperative Banks (also referred to as ‘District Central Co-operative Banks’).</w:t>
      </w:r>
    </w:p>
    <w:p w14:paraId="33C9392C"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3. The Master Direction shall apply to State and Central Cooperative Banks (together referred to as ‘Rural Co-operative Banks’ or ‘RCBs’) mutatis mutandis, unless explicitly specified otherwise, from the financial year ending March 31, 2023. Certain disclosure requirements specified in Annex III-A shall be applicable, to RCBs, from the financial year ending March 31, 2024.</w:t>
      </w:r>
    </w:p>
    <w:p w14:paraId="49A32D58"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4. The </w:t>
      </w:r>
      <w:hyperlink r:id="rId6"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14:paraId="140F5313"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2AF2CC08"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3F8A175D" w14:textId="77777777" w:rsidR="003B4D49" w:rsidRDefault="003B4D49" w:rsidP="003B4D49">
      <w:pPr>
        <w:pStyle w:val="NormalWeb"/>
        <w:rPr>
          <w:b/>
        </w:rPr>
      </w:pPr>
    </w:p>
    <w:p w14:paraId="2FAF1710" w14:textId="77777777" w:rsidR="003B4D49" w:rsidRDefault="003B4D49" w:rsidP="003B4D49">
      <w:r>
        <w:t>More details can be referred to in the below link.</w:t>
      </w:r>
    </w:p>
    <w:p w14:paraId="6B149734"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5F425E">
          <w:rPr>
            <w:rStyle w:val="Hyperlink"/>
            <w:rFonts w:ascii="Arial" w:hAnsi="Arial" w:cs="Arial"/>
            <w:bCs/>
            <w:sz w:val="20"/>
            <w:szCs w:val="20"/>
          </w:rPr>
          <w:t>https://rbi.org.in/Scripts/NotificationUser.aspx?Id=12457&amp;Mode=0</w:t>
        </w:r>
      </w:hyperlink>
    </w:p>
    <w:p w14:paraId="0FF9904B" w14:textId="77777777" w:rsidR="003B4D49" w:rsidRDefault="003B4D49" w:rsidP="003B4D49">
      <w:pPr>
        <w:pStyle w:val="NormalWeb"/>
        <w:rPr>
          <w:rFonts w:ascii="Arial" w:hAnsi="Arial" w:cs="Arial"/>
          <w:bCs/>
          <w:color w:val="000000"/>
          <w:sz w:val="20"/>
          <w:szCs w:val="20"/>
        </w:rPr>
      </w:pPr>
    </w:p>
    <w:p w14:paraId="74213E06" w14:textId="77777777" w:rsidR="003B4D49" w:rsidRDefault="003B4D49" w:rsidP="003B4D49">
      <w:pPr>
        <w:pStyle w:val="NormalWeb"/>
        <w:rPr>
          <w:rFonts w:ascii="Arial" w:hAnsi="Arial" w:cs="Arial"/>
          <w:bCs/>
          <w:color w:val="000000"/>
          <w:sz w:val="20"/>
          <w:szCs w:val="20"/>
        </w:rPr>
      </w:pPr>
    </w:p>
    <w:p w14:paraId="3A554F89" w14:textId="77777777" w:rsidR="003B4D49" w:rsidRDefault="003B4D49" w:rsidP="003B4D49">
      <w:pPr>
        <w:pStyle w:val="NormalWeb"/>
        <w:rPr>
          <w:rFonts w:ascii="Arial" w:hAnsi="Arial" w:cs="Arial"/>
          <w:bCs/>
          <w:color w:val="000000"/>
          <w:sz w:val="20"/>
          <w:szCs w:val="20"/>
        </w:rPr>
      </w:pPr>
    </w:p>
    <w:p w14:paraId="75D90F36" w14:textId="77777777" w:rsidR="003B4D49" w:rsidRDefault="003B4D49" w:rsidP="003B4D49">
      <w:pPr>
        <w:pStyle w:val="NormalWeb"/>
        <w:rPr>
          <w:rFonts w:ascii="Arial" w:hAnsi="Arial" w:cs="Arial"/>
          <w:bCs/>
          <w:color w:val="000000"/>
          <w:sz w:val="20"/>
          <w:szCs w:val="20"/>
        </w:rPr>
      </w:pPr>
    </w:p>
    <w:p w14:paraId="23297FA8" w14:textId="77777777" w:rsidR="003B4D49" w:rsidRDefault="003B4D49" w:rsidP="003B4D49">
      <w:pPr>
        <w:pStyle w:val="NormalWeb"/>
        <w:rPr>
          <w:rFonts w:ascii="Arial" w:hAnsi="Arial" w:cs="Arial"/>
          <w:bCs/>
          <w:color w:val="000000"/>
          <w:sz w:val="20"/>
          <w:szCs w:val="20"/>
        </w:rPr>
      </w:pPr>
    </w:p>
    <w:p w14:paraId="0A131F62" w14:textId="77777777" w:rsidR="003B4D49" w:rsidRDefault="003B4D49" w:rsidP="003B4D49">
      <w:pPr>
        <w:pStyle w:val="NormalWeb"/>
        <w:rPr>
          <w:rFonts w:ascii="Arial" w:hAnsi="Arial" w:cs="Arial"/>
          <w:bCs/>
          <w:color w:val="000000"/>
          <w:sz w:val="20"/>
          <w:szCs w:val="20"/>
        </w:rPr>
      </w:pPr>
    </w:p>
    <w:bookmarkEnd w:id="1"/>
    <w:p w14:paraId="46A40BAF" w14:textId="77777777" w:rsidR="003B4D49" w:rsidRDefault="003B4D49" w:rsidP="00B31EE1">
      <w:pPr>
        <w:rPr>
          <w:b/>
          <w:bCs/>
          <w:lang w:val="en-US"/>
        </w:rPr>
      </w:pPr>
    </w:p>
    <w:p w14:paraId="45E7C9FB" w14:textId="77777777" w:rsidR="003B4D49" w:rsidRDefault="003B4D49" w:rsidP="003B4D49">
      <w:pPr>
        <w:pStyle w:val="NormalWeb"/>
        <w:rPr>
          <w:rFonts w:ascii="Arial" w:hAnsi="Arial" w:cs="Arial"/>
          <w:b/>
          <w:bCs/>
          <w:color w:val="000000"/>
          <w:sz w:val="20"/>
          <w:szCs w:val="20"/>
        </w:rPr>
      </w:pPr>
      <w:bookmarkStart w:id="2" w:name="OLE_LINK35"/>
      <w:bookmarkStart w:id="3" w:name="_Hlk141824934"/>
      <w:r>
        <w:rPr>
          <w:rFonts w:ascii="Arial" w:hAnsi="Arial" w:cs="Arial"/>
          <w:b/>
          <w:bCs/>
          <w:color w:val="000000"/>
          <w:sz w:val="20"/>
          <w:szCs w:val="20"/>
        </w:rPr>
        <w:t>Master Circular on Credit Facilities to Minority Communities</w:t>
      </w:r>
    </w:p>
    <w:bookmarkEnd w:id="2"/>
    <w:p w14:paraId="683C7700"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14:paraId="72AE2C83"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April 01, 2023</w:t>
      </w:r>
    </w:p>
    <w:p w14:paraId="1EEEA4EA"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14:paraId="44395A48"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 Dear Sir,</w:t>
      </w:r>
    </w:p>
    <w:p w14:paraId="67495B9D"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14:paraId="044C7F9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8"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9" w:anchor="APP" w:history="1">
        <w:r>
          <w:rPr>
            <w:rStyle w:val="Hyperlink"/>
            <w:rFonts w:ascii="Arial" w:hAnsi="Arial" w:cs="Arial"/>
            <w:sz w:val="20"/>
            <w:szCs w:val="20"/>
          </w:rPr>
          <w:t>Appendix</w:t>
        </w:r>
      </w:hyperlink>
      <w:r>
        <w:rPr>
          <w:rFonts w:ascii="Arial" w:hAnsi="Arial" w:cs="Arial"/>
          <w:color w:val="000000"/>
          <w:sz w:val="20"/>
          <w:szCs w:val="20"/>
        </w:rPr>
        <w:t>.</w:t>
      </w:r>
    </w:p>
    <w:p w14:paraId="05C85AE4"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7253A0C9"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0D4C358F" w14:textId="77777777" w:rsidR="003B4D49" w:rsidRDefault="003B4D49" w:rsidP="003B4D49">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3FAF7036" w14:textId="77777777" w:rsidR="003B4D49" w:rsidRDefault="003B4D49" w:rsidP="003B4D49">
      <w:pPr>
        <w:pStyle w:val="NormalWeb"/>
        <w:rPr>
          <w:rFonts w:ascii="Arial" w:hAnsi="Arial" w:cs="Arial"/>
          <w:bCs/>
          <w:color w:val="000000"/>
          <w:sz w:val="20"/>
          <w:szCs w:val="20"/>
        </w:rPr>
      </w:pPr>
    </w:p>
    <w:p w14:paraId="4870A979" w14:textId="77777777" w:rsidR="003B4D49" w:rsidRDefault="003B4D49" w:rsidP="003B4D49">
      <w:r>
        <w:t>More details can be referred to in the below link.</w:t>
      </w:r>
    </w:p>
    <w:p w14:paraId="25226957"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5F425E">
          <w:rPr>
            <w:rStyle w:val="Hyperlink"/>
            <w:rFonts w:ascii="Arial" w:hAnsi="Arial" w:cs="Arial"/>
            <w:bCs/>
            <w:sz w:val="20"/>
            <w:szCs w:val="20"/>
          </w:rPr>
          <w:t>https://rbi.org.in/Scripts/NotificationUser.aspx?Id=12467&amp;Mode=0</w:t>
        </w:r>
      </w:hyperlink>
    </w:p>
    <w:p w14:paraId="342FF50A" w14:textId="77777777" w:rsidR="003B4D49" w:rsidRDefault="003B4D49" w:rsidP="003B4D49">
      <w:pPr>
        <w:pStyle w:val="NormalWeb"/>
        <w:rPr>
          <w:rFonts w:ascii="Arial" w:hAnsi="Arial" w:cs="Arial"/>
          <w:bCs/>
          <w:color w:val="000000"/>
          <w:sz w:val="20"/>
          <w:szCs w:val="20"/>
        </w:rPr>
      </w:pPr>
    </w:p>
    <w:p w14:paraId="2ED85095" w14:textId="77777777" w:rsidR="003B4D49" w:rsidRDefault="003B4D49" w:rsidP="003B4D49">
      <w:pPr>
        <w:pStyle w:val="NormalWeb"/>
        <w:rPr>
          <w:rFonts w:ascii="Arial" w:hAnsi="Arial" w:cs="Arial"/>
          <w:bCs/>
          <w:color w:val="000000"/>
          <w:sz w:val="20"/>
          <w:szCs w:val="20"/>
        </w:rPr>
      </w:pPr>
    </w:p>
    <w:p w14:paraId="3B9836B3" w14:textId="77777777" w:rsidR="003B4D49" w:rsidRDefault="003B4D49" w:rsidP="003B4D49">
      <w:pPr>
        <w:pStyle w:val="NormalWeb"/>
        <w:rPr>
          <w:rFonts w:ascii="Arial" w:hAnsi="Arial" w:cs="Arial"/>
          <w:bCs/>
          <w:color w:val="000000"/>
          <w:sz w:val="20"/>
          <w:szCs w:val="20"/>
        </w:rPr>
      </w:pPr>
    </w:p>
    <w:p w14:paraId="5977514F" w14:textId="77777777" w:rsidR="003B4D49" w:rsidRDefault="003B4D49" w:rsidP="003B4D49">
      <w:pPr>
        <w:pStyle w:val="NormalWeb"/>
        <w:rPr>
          <w:rFonts w:ascii="Arial" w:hAnsi="Arial" w:cs="Arial"/>
          <w:bCs/>
          <w:color w:val="000000"/>
          <w:sz w:val="20"/>
          <w:szCs w:val="20"/>
        </w:rPr>
      </w:pPr>
    </w:p>
    <w:p w14:paraId="51772D33" w14:textId="77777777" w:rsidR="003B4D49" w:rsidRDefault="003B4D49" w:rsidP="003B4D49">
      <w:pPr>
        <w:pStyle w:val="NormalWeb"/>
        <w:rPr>
          <w:rFonts w:ascii="Arial" w:hAnsi="Arial" w:cs="Arial"/>
          <w:bCs/>
          <w:color w:val="000000"/>
          <w:sz w:val="20"/>
          <w:szCs w:val="20"/>
        </w:rPr>
      </w:pPr>
    </w:p>
    <w:p w14:paraId="640DCDC6" w14:textId="77777777" w:rsidR="003B4D49" w:rsidRDefault="003B4D49" w:rsidP="003B4D49">
      <w:pPr>
        <w:pStyle w:val="NormalWeb"/>
        <w:rPr>
          <w:rFonts w:ascii="Arial" w:hAnsi="Arial" w:cs="Arial"/>
          <w:bCs/>
          <w:color w:val="000000"/>
          <w:sz w:val="20"/>
          <w:szCs w:val="20"/>
        </w:rPr>
      </w:pPr>
    </w:p>
    <w:p w14:paraId="009C1361" w14:textId="77777777" w:rsidR="003B4D49" w:rsidRDefault="003B4D49" w:rsidP="003B4D49">
      <w:pPr>
        <w:pStyle w:val="NormalWeb"/>
        <w:rPr>
          <w:rFonts w:ascii="Arial" w:hAnsi="Arial" w:cs="Arial"/>
          <w:bCs/>
          <w:color w:val="000000"/>
          <w:sz w:val="20"/>
          <w:szCs w:val="20"/>
        </w:rPr>
      </w:pPr>
    </w:p>
    <w:p w14:paraId="7EA019AC" w14:textId="77777777" w:rsidR="003B4D49" w:rsidRDefault="003B4D49" w:rsidP="003B4D49">
      <w:pPr>
        <w:pStyle w:val="NormalWeb"/>
        <w:rPr>
          <w:rFonts w:ascii="Arial" w:hAnsi="Arial" w:cs="Arial"/>
          <w:bCs/>
          <w:color w:val="000000"/>
          <w:sz w:val="20"/>
          <w:szCs w:val="20"/>
        </w:rPr>
      </w:pPr>
    </w:p>
    <w:p w14:paraId="5F05C67B" w14:textId="77777777" w:rsidR="003B4D49" w:rsidRDefault="003B4D49" w:rsidP="003B4D49">
      <w:pPr>
        <w:pStyle w:val="NormalWeb"/>
        <w:rPr>
          <w:rFonts w:ascii="Arial" w:hAnsi="Arial" w:cs="Arial"/>
          <w:bCs/>
          <w:color w:val="000000"/>
          <w:sz w:val="20"/>
          <w:szCs w:val="20"/>
        </w:rPr>
      </w:pPr>
    </w:p>
    <w:p w14:paraId="7B9C50BF" w14:textId="77777777" w:rsidR="003B4D49" w:rsidRDefault="003B4D49" w:rsidP="003B4D49">
      <w:pPr>
        <w:pStyle w:val="NormalWeb"/>
        <w:rPr>
          <w:rFonts w:ascii="Arial" w:hAnsi="Arial" w:cs="Arial"/>
          <w:bCs/>
          <w:color w:val="000000"/>
          <w:sz w:val="20"/>
          <w:szCs w:val="20"/>
        </w:rPr>
      </w:pPr>
    </w:p>
    <w:p w14:paraId="36D29717" w14:textId="77777777" w:rsidR="003B4D49" w:rsidRDefault="003B4D49" w:rsidP="003B4D49">
      <w:pPr>
        <w:pStyle w:val="NormalWeb"/>
        <w:rPr>
          <w:rFonts w:ascii="Arial" w:hAnsi="Arial" w:cs="Arial"/>
          <w:bCs/>
          <w:color w:val="000000"/>
          <w:sz w:val="20"/>
          <w:szCs w:val="20"/>
        </w:rPr>
      </w:pPr>
    </w:p>
    <w:bookmarkEnd w:id="3"/>
    <w:p w14:paraId="32678BEF" w14:textId="77777777" w:rsidR="003B4D49" w:rsidRDefault="003B4D49" w:rsidP="00B31EE1">
      <w:pPr>
        <w:rPr>
          <w:b/>
          <w:bCs/>
          <w:lang w:val="en-US"/>
        </w:rPr>
      </w:pPr>
    </w:p>
    <w:p w14:paraId="2B42BB31" w14:textId="77777777" w:rsidR="003B4D49" w:rsidRDefault="003B4D49" w:rsidP="003B4D49">
      <w:pPr>
        <w:pStyle w:val="NormalWeb"/>
        <w:rPr>
          <w:rFonts w:ascii="Arial" w:hAnsi="Arial" w:cs="Arial"/>
          <w:b/>
          <w:bCs/>
          <w:color w:val="000000"/>
          <w:sz w:val="20"/>
          <w:szCs w:val="20"/>
        </w:rPr>
      </w:pPr>
      <w:bookmarkStart w:id="4" w:name="OLE_LINK36"/>
      <w:bookmarkStart w:id="5" w:name="_Hlk141824961"/>
      <w:r>
        <w:rPr>
          <w:rFonts w:ascii="Arial" w:hAnsi="Arial" w:cs="Arial"/>
          <w:b/>
          <w:bCs/>
          <w:color w:val="000000"/>
          <w:sz w:val="20"/>
          <w:szCs w:val="20"/>
        </w:rPr>
        <w:t>Master Circular - Credit facilities to Scheduled Castes (SCs) &amp; Scheduled Tribes (STs)</w:t>
      </w:r>
    </w:p>
    <w:bookmarkEnd w:id="4"/>
    <w:p w14:paraId="3A1403CB"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14:paraId="2CE2570B"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April 01, 2023</w:t>
      </w:r>
    </w:p>
    <w:p w14:paraId="023201BD"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14:paraId="537960B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 / Dear Sir,</w:t>
      </w:r>
    </w:p>
    <w:p w14:paraId="72810B86"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14:paraId="5BA414DB"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11"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12" w:anchor="APP" w:history="1">
        <w:r>
          <w:rPr>
            <w:rStyle w:val="Hyperlink"/>
            <w:rFonts w:ascii="Arial" w:hAnsi="Arial" w:cs="Arial"/>
            <w:sz w:val="20"/>
            <w:szCs w:val="20"/>
          </w:rPr>
          <w:t>Appendix</w:t>
        </w:r>
      </w:hyperlink>
      <w:r>
        <w:rPr>
          <w:rFonts w:ascii="Arial" w:hAnsi="Arial" w:cs="Arial"/>
          <w:color w:val="000000"/>
          <w:sz w:val="20"/>
          <w:szCs w:val="20"/>
        </w:rPr>
        <w:t>.</w:t>
      </w:r>
    </w:p>
    <w:p w14:paraId="40C0F518"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458763E6"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761041A6" w14:textId="77777777" w:rsidR="003B4D49" w:rsidRDefault="003B4D49" w:rsidP="003B4D49">
      <w:pPr>
        <w:pStyle w:val="NormalWeb"/>
        <w:rPr>
          <w:rFonts w:ascii="Arial" w:hAnsi="Arial" w:cs="Arial"/>
          <w:bCs/>
          <w:color w:val="000000"/>
          <w:sz w:val="20"/>
          <w:szCs w:val="20"/>
        </w:rPr>
      </w:pPr>
    </w:p>
    <w:p w14:paraId="68B36800" w14:textId="77777777" w:rsidR="003B4D49" w:rsidRDefault="003B4D49" w:rsidP="003B4D49">
      <w:r>
        <w:t>More details can be referred to in the below link.</w:t>
      </w:r>
    </w:p>
    <w:p w14:paraId="45A9BB04"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3" w:history="1">
        <w:r w:rsidRPr="005F425E">
          <w:rPr>
            <w:rStyle w:val="Hyperlink"/>
            <w:rFonts w:ascii="Arial" w:hAnsi="Arial" w:cs="Arial"/>
            <w:bCs/>
            <w:sz w:val="20"/>
            <w:szCs w:val="20"/>
          </w:rPr>
          <w:t>https://rbi.org.in/Scripts/NotificationUser.aspx?Id=12468&amp;Mode=0</w:t>
        </w:r>
      </w:hyperlink>
    </w:p>
    <w:p w14:paraId="1B785B54" w14:textId="77777777" w:rsidR="003B4D49" w:rsidRDefault="003B4D49" w:rsidP="003B4D49">
      <w:pPr>
        <w:pStyle w:val="NormalWeb"/>
        <w:rPr>
          <w:rFonts w:ascii="Arial" w:hAnsi="Arial" w:cs="Arial"/>
          <w:bCs/>
          <w:color w:val="000000"/>
          <w:sz w:val="20"/>
          <w:szCs w:val="20"/>
        </w:rPr>
      </w:pPr>
    </w:p>
    <w:p w14:paraId="735454F1" w14:textId="77777777" w:rsidR="003B4D49" w:rsidRDefault="003B4D49" w:rsidP="003B4D49">
      <w:pPr>
        <w:pStyle w:val="NormalWeb"/>
        <w:rPr>
          <w:rFonts w:ascii="Arial" w:hAnsi="Arial" w:cs="Arial"/>
          <w:bCs/>
          <w:color w:val="000000"/>
          <w:sz w:val="20"/>
          <w:szCs w:val="20"/>
        </w:rPr>
      </w:pPr>
    </w:p>
    <w:p w14:paraId="054BA0EF" w14:textId="77777777" w:rsidR="003B4D49" w:rsidRDefault="003B4D49" w:rsidP="003B4D49">
      <w:pPr>
        <w:pStyle w:val="NormalWeb"/>
        <w:rPr>
          <w:rFonts w:ascii="Arial" w:hAnsi="Arial" w:cs="Arial"/>
          <w:bCs/>
          <w:color w:val="000000"/>
          <w:sz w:val="20"/>
          <w:szCs w:val="20"/>
        </w:rPr>
      </w:pPr>
    </w:p>
    <w:p w14:paraId="41699C35" w14:textId="77777777" w:rsidR="003B4D49" w:rsidRDefault="003B4D49" w:rsidP="003B4D49">
      <w:pPr>
        <w:pStyle w:val="NormalWeb"/>
        <w:rPr>
          <w:rFonts w:ascii="Arial" w:hAnsi="Arial" w:cs="Arial"/>
          <w:bCs/>
          <w:color w:val="000000"/>
          <w:sz w:val="20"/>
          <w:szCs w:val="20"/>
        </w:rPr>
      </w:pPr>
    </w:p>
    <w:p w14:paraId="0B9A7D9D" w14:textId="77777777" w:rsidR="003B4D49" w:rsidRDefault="003B4D49" w:rsidP="003B4D49">
      <w:pPr>
        <w:pStyle w:val="NormalWeb"/>
        <w:rPr>
          <w:rFonts w:ascii="Arial" w:hAnsi="Arial" w:cs="Arial"/>
          <w:bCs/>
          <w:color w:val="000000"/>
          <w:sz w:val="20"/>
          <w:szCs w:val="20"/>
        </w:rPr>
      </w:pPr>
    </w:p>
    <w:p w14:paraId="40D1BA24" w14:textId="77777777" w:rsidR="003B4D49" w:rsidRDefault="003B4D49" w:rsidP="003B4D49">
      <w:pPr>
        <w:pStyle w:val="NormalWeb"/>
        <w:rPr>
          <w:rFonts w:ascii="Arial" w:hAnsi="Arial" w:cs="Arial"/>
          <w:bCs/>
          <w:color w:val="000000"/>
          <w:sz w:val="20"/>
          <w:szCs w:val="20"/>
        </w:rPr>
      </w:pPr>
    </w:p>
    <w:p w14:paraId="48DEC334" w14:textId="77777777" w:rsidR="003B4D49" w:rsidRDefault="003B4D49" w:rsidP="003B4D49">
      <w:pPr>
        <w:pStyle w:val="NormalWeb"/>
        <w:rPr>
          <w:rFonts w:ascii="Arial" w:hAnsi="Arial" w:cs="Arial"/>
          <w:bCs/>
          <w:color w:val="000000"/>
          <w:sz w:val="20"/>
          <w:szCs w:val="20"/>
        </w:rPr>
      </w:pPr>
    </w:p>
    <w:p w14:paraId="24F390B6" w14:textId="77777777" w:rsidR="003B4D49" w:rsidRDefault="003B4D49" w:rsidP="003B4D49">
      <w:pPr>
        <w:pStyle w:val="NormalWeb"/>
        <w:rPr>
          <w:rFonts w:ascii="Arial" w:hAnsi="Arial" w:cs="Arial"/>
          <w:bCs/>
          <w:color w:val="000000"/>
          <w:sz w:val="20"/>
          <w:szCs w:val="20"/>
        </w:rPr>
      </w:pPr>
    </w:p>
    <w:p w14:paraId="2F036265" w14:textId="77777777" w:rsidR="003B4D49" w:rsidRDefault="003B4D49" w:rsidP="003B4D49">
      <w:pPr>
        <w:pStyle w:val="NormalWeb"/>
        <w:rPr>
          <w:rFonts w:ascii="Arial" w:hAnsi="Arial" w:cs="Arial"/>
          <w:bCs/>
          <w:color w:val="000000"/>
          <w:sz w:val="20"/>
          <w:szCs w:val="20"/>
        </w:rPr>
      </w:pPr>
    </w:p>
    <w:p w14:paraId="2FE29316" w14:textId="77777777" w:rsidR="003B4D49" w:rsidRDefault="003B4D49" w:rsidP="003B4D49">
      <w:pPr>
        <w:pStyle w:val="NormalWeb"/>
        <w:rPr>
          <w:rFonts w:ascii="Arial" w:hAnsi="Arial" w:cs="Arial"/>
          <w:bCs/>
          <w:color w:val="000000"/>
          <w:sz w:val="20"/>
          <w:szCs w:val="20"/>
        </w:rPr>
      </w:pPr>
    </w:p>
    <w:p w14:paraId="22317707" w14:textId="77777777" w:rsidR="003B4D49" w:rsidRDefault="003B4D49" w:rsidP="003B4D49">
      <w:pPr>
        <w:pStyle w:val="NormalWeb"/>
        <w:rPr>
          <w:rFonts w:ascii="Arial" w:hAnsi="Arial" w:cs="Arial"/>
          <w:bCs/>
          <w:color w:val="000000"/>
          <w:sz w:val="20"/>
          <w:szCs w:val="20"/>
        </w:rPr>
      </w:pPr>
    </w:p>
    <w:p w14:paraId="5EB01EAF" w14:textId="77777777" w:rsidR="003B4D49" w:rsidRDefault="003B4D49" w:rsidP="003B4D49">
      <w:pPr>
        <w:pStyle w:val="NormalWeb"/>
        <w:rPr>
          <w:rFonts w:ascii="Arial" w:hAnsi="Arial" w:cs="Arial"/>
          <w:bCs/>
          <w:color w:val="000000"/>
          <w:sz w:val="20"/>
          <w:szCs w:val="20"/>
        </w:rPr>
      </w:pPr>
    </w:p>
    <w:bookmarkEnd w:id="5"/>
    <w:p w14:paraId="492C4E84" w14:textId="77777777" w:rsidR="003B4D49" w:rsidRDefault="003B4D49" w:rsidP="00B31EE1">
      <w:pPr>
        <w:rPr>
          <w:b/>
          <w:bCs/>
          <w:lang w:val="en-US"/>
        </w:rPr>
      </w:pPr>
    </w:p>
    <w:p w14:paraId="5FB43883" w14:textId="77777777" w:rsidR="003B4D49" w:rsidRDefault="003B4D49" w:rsidP="003B4D49">
      <w:pPr>
        <w:pStyle w:val="NormalWeb"/>
        <w:rPr>
          <w:rFonts w:ascii="Arial" w:hAnsi="Arial" w:cs="Arial"/>
          <w:b/>
          <w:bCs/>
          <w:color w:val="000000"/>
          <w:sz w:val="20"/>
          <w:szCs w:val="20"/>
        </w:rPr>
      </w:pPr>
      <w:bookmarkStart w:id="6" w:name="OLE_LINK39"/>
      <w:bookmarkStart w:id="7" w:name="_Hlk141825029"/>
      <w:r>
        <w:rPr>
          <w:rFonts w:ascii="Arial" w:hAnsi="Arial" w:cs="Arial"/>
          <w:b/>
          <w:bCs/>
          <w:color w:val="000000"/>
          <w:sz w:val="20"/>
          <w:szCs w:val="20"/>
        </w:rPr>
        <w:t>Master Circular on SHG-Bank Linkage Programme</w:t>
      </w:r>
    </w:p>
    <w:bookmarkEnd w:id="6"/>
    <w:p w14:paraId="1FE8E304"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RBI/2023-24/03</w:t>
      </w:r>
      <w:r>
        <w:rPr>
          <w:rFonts w:ascii="Arial" w:hAnsi="Arial" w:cs="Arial"/>
          <w:color w:val="000000"/>
          <w:sz w:val="20"/>
          <w:szCs w:val="20"/>
        </w:rPr>
        <w:br/>
        <w:t>FIDD.CO.FID.BC.No.1/12.01.033/2023-24</w:t>
      </w:r>
    </w:p>
    <w:p w14:paraId="4459D9BC"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April 01, 2023</w:t>
      </w:r>
    </w:p>
    <w:p w14:paraId="4602CD80"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The Chairman/ Managing Director/</w:t>
      </w:r>
      <w:r>
        <w:rPr>
          <w:rFonts w:ascii="Arial" w:hAnsi="Arial" w:cs="Arial"/>
          <w:color w:val="000000"/>
          <w:sz w:val="20"/>
          <w:szCs w:val="20"/>
        </w:rPr>
        <w:br/>
        <w:t>Chief Executive Officer</w:t>
      </w:r>
      <w:r>
        <w:rPr>
          <w:rFonts w:ascii="Arial" w:hAnsi="Arial" w:cs="Arial"/>
          <w:color w:val="000000"/>
          <w:sz w:val="20"/>
          <w:szCs w:val="20"/>
        </w:rPr>
        <w:br/>
        <w:t>All Scheduled Commercial Banks</w:t>
      </w:r>
    </w:p>
    <w:p w14:paraId="749276EC"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 Dear Sir</w:t>
      </w:r>
    </w:p>
    <w:p w14:paraId="31E92A41"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Master Circular on SHG-Bank Linkage Programme</w:t>
      </w:r>
    </w:p>
    <w:p w14:paraId="5906D674"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w:t>
      </w:r>
      <w:hyperlink r:id="rId14" w:anchor="MC" w:history="1">
        <w:r>
          <w:rPr>
            <w:rStyle w:val="Hyperlink"/>
            <w:rFonts w:ascii="Arial" w:hAnsi="Arial" w:cs="Arial"/>
            <w:sz w:val="20"/>
            <w:szCs w:val="20"/>
          </w:rPr>
          <w:t>Master Circular</w:t>
        </w:r>
      </w:hyperlink>
      <w:r>
        <w:rPr>
          <w:rFonts w:ascii="Arial" w:hAnsi="Arial" w:cs="Arial"/>
          <w:color w:val="000000"/>
          <w:sz w:val="20"/>
          <w:szCs w:val="20"/>
        </w:rPr>
        <w:t> incorporating the existing guidelines/ instructions on the subject has been updated and enclosed. This Master Circular consolidates the circulars issued by Reserve Bank on the subject up to March 31, 2023, as indicated in the </w:t>
      </w:r>
      <w:hyperlink r:id="rId15" w:anchor="APP" w:history="1">
        <w:r>
          <w:rPr>
            <w:rStyle w:val="Hyperlink"/>
            <w:rFonts w:ascii="Arial" w:hAnsi="Arial" w:cs="Arial"/>
            <w:sz w:val="20"/>
            <w:szCs w:val="20"/>
          </w:rPr>
          <w:t>Appendix</w:t>
        </w:r>
      </w:hyperlink>
      <w:r>
        <w:rPr>
          <w:rFonts w:ascii="Arial" w:hAnsi="Arial" w:cs="Arial"/>
          <w:color w:val="000000"/>
          <w:sz w:val="20"/>
          <w:szCs w:val="20"/>
        </w:rPr>
        <w:t>.</w:t>
      </w:r>
    </w:p>
    <w:p w14:paraId="765E0DFC"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114B6154"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Sonali</w:t>
      </w:r>
      <w:proofErr w:type="spellEnd"/>
      <w:r>
        <w:rPr>
          <w:rFonts w:ascii="Arial" w:hAnsi="Arial" w:cs="Arial"/>
          <w:color w:val="000000"/>
          <w:sz w:val="20"/>
          <w:szCs w:val="20"/>
        </w:rPr>
        <w:t xml:space="preserve"> Sen Gupta)</w:t>
      </w:r>
      <w:r>
        <w:rPr>
          <w:rFonts w:ascii="Arial" w:hAnsi="Arial" w:cs="Arial"/>
          <w:color w:val="000000"/>
          <w:sz w:val="20"/>
          <w:szCs w:val="20"/>
        </w:rPr>
        <w:br/>
        <w:t>Chief General Manager-in-Charge</w:t>
      </w:r>
      <w:r>
        <w:rPr>
          <w:rFonts w:ascii="Arial" w:hAnsi="Arial" w:cs="Arial"/>
          <w:color w:val="000000"/>
          <w:sz w:val="20"/>
          <w:szCs w:val="20"/>
        </w:rPr>
        <w:br/>
      </w: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13E192D5" w14:textId="77777777" w:rsidR="003B4D49" w:rsidRDefault="003B4D49" w:rsidP="003B4D49">
      <w:pPr>
        <w:pStyle w:val="NormalWeb"/>
        <w:rPr>
          <w:rFonts w:ascii="Arial" w:hAnsi="Arial" w:cs="Arial"/>
          <w:bCs/>
          <w:color w:val="000000"/>
          <w:sz w:val="20"/>
          <w:szCs w:val="20"/>
        </w:rPr>
      </w:pPr>
    </w:p>
    <w:p w14:paraId="4FCABB83" w14:textId="77777777" w:rsidR="003B4D49" w:rsidRDefault="003B4D49" w:rsidP="003B4D49">
      <w:r>
        <w:t>More details can be referred to in the below link.</w:t>
      </w:r>
    </w:p>
    <w:p w14:paraId="2F886B08"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5F425E">
          <w:rPr>
            <w:rStyle w:val="Hyperlink"/>
            <w:rFonts w:ascii="Arial" w:hAnsi="Arial" w:cs="Arial"/>
            <w:bCs/>
            <w:sz w:val="20"/>
            <w:szCs w:val="20"/>
          </w:rPr>
          <w:t>https://rbi.org.in/Scripts/NotificationUser.aspx?Id=12470&amp;Mode=0</w:t>
        </w:r>
      </w:hyperlink>
    </w:p>
    <w:p w14:paraId="1F7ECE9A" w14:textId="77777777" w:rsidR="003B4D49" w:rsidRDefault="003B4D49" w:rsidP="003B4D49">
      <w:pPr>
        <w:pStyle w:val="NormalWeb"/>
        <w:rPr>
          <w:rFonts w:ascii="Arial" w:hAnsi="Arial" w:cs="Arial"/>
          <w:bCs/>
          <w:color w:val="000000"/>
          <w:sz w:val="20"/>
          <w:szCs w:val="20"/>
        </w:rPr>
      </w:pPr>
    </w:p>
    <w:p w14:paraId="5EC8A25D" w14:textId="77777777" w:rsidR="003B4D49" w:rsidRDefault="003B4D49" w:rsidP="003B4D49">
      <w:pPr>
        <w:pStyle w:val="NormalWeb"/>
        <w:rPr>
          <w:rFonts w:ascii="Arial" w:hAnsi="Arial" w:cs="Arial"/>
          <w:bCs/>
          <w:color w:val="000000"/>
          <w:sz w:val="20"/>
          <w:szCs w:val="20"/>
        </w:rPr>
      </w:pPr>
    </w:p>
    <w:p w14:paraId="5209C15F" w14:textId="77777777" w:rsidR="003B4D49" w:rsidRDefault="003B4D49" w:rsidP="003B4D49">
      <w:pPr>
        <w:pStyle w:val="NormalWeb"/>
        <w:rPr>
          <w:rFonts w:ascii="Arial" w:hAnsi="Arial" w:cs="Arial"/>
          <w:bCs/>
          <w:color w:val="000000"/>
          <w:sz w:val="20"/>
          <w:szCs w:val="20"/>
        </w:rPr>
      </w:pPr>
    </w:p>
    <w:p w14:paraId="5B4C2F74" w14:textId="77777777" w:rsidR="003B4D49" w:rsidRDefault="003B4D49" w:rsidP="003B4D49">
      <w:pPr>
        <w:pStyle w:val="NormalWeb"/>
        <w:rPr>
          <w:rFonts w:ascii="Arial" w:hAnsi="Arial" w:cs="Arial"/>
          <w:bCs/>
          <w:color w:val="000000"/>
          <w:sz w:val="20"/>
          <w:szCs w:val="20"/>
        </w:rPr>
      </w:pPr>
    </w:p>
    <w:p w14:paraId="14C55C18" w14:textId="77777777" w:rsidR="003B4D49" w:rsidRDefault="003B4D49" w:rsidP="003B4D49">
      <w:pPr>
        <w:pStyle w:val="NormalWeb"/>
        <w:rPr>
          <w:rFonts w:ascii="Arial" w:hAnsi="Arial" w:cs="Arial"/>
          <w:bCs/>
          <w:color w:val="000000"/>
          <w:sz w:val="20"/>
          <w:szCs w:val="20"/>
        </w:rPr>
      </w:pPr>
    </w:p>
    <w:p w14:paraId="726ACE38" w14:textId="77777777" w:rsidR="003B4D49" w:rsidRDefault="003B4D49" w:rsidP="003B4D49">
      <w:pPr>
        <w:pStyle w:val="NormalWeb"/>
        <w:rPr>
          <w:rFonts w:ascii="Arial" w:hAnsi="Arial" w:cs="Arial"/>
          <w:bCs/>
          <w:color w:val="000000"/>
          <w:sz w:val="20"/>
          <w:szCs w:val="20"/>
        </w:rPr>
      </w:pPr>
    </w:p>
    <w:p w14:paraId="067641D1" w14:textId="77777777" w:rsidR="003B4D49" w:rsidRDefault="003B4D49" w:rsidP="003B4D49">
      <w:pPr>
        <w:pStyle w:val="NormalWeb"/>
        <w:rPr>
          <w:rFonts w:ascii="Arial" w:hAnsi="Arial" w:cs="Arial"/>
          <w:bCs/>
          <w:color w:val="000000"/>
          <w:sz w:val="20"/>
          <w:szCs w:val="20"/>
        </w:rPr>
      </w:pPr>
    </w:p>
    <w:p w14:paraId="65882401" w14:textId="1FE85604" w:rsidR="003B4D49" w:rsidRDefault="003B4D49" w:rsidP="003B4D49">
      <w:pPr>
        <w:pStyle w:val="NormalWeb"/>
        <w:rPr>
          <w:rFonts w:ascii="Arial" w:hAnsi="Arial" w:cs="Arial"/>
          <w:bCs/>
          <w:color w:val="000000"/>
          <w:sz w:val="20"/>
          <w:szCs w:val="20"/>
        </w:rPr>
      </w:pPr>
    </w:p>
    <w:bookmarkEnd w:id="7"/>
    <w:p w14:paraId="3F92004A" w14:textId="77777777" w:rsidR="003B4D49" w:rsidRDefault="003B4D49" w:rsidP="00B31EE1">
      <w:pPr>
        <w:rPr>
          <w:b/>
          <w:bCs/>
          <w:lang w:val="en-US"/>
        </w:rPr>
      </w:pPr>
    </w:p>
    <w:p w14:paraId="18B516BA" w14:textId="77777777" w:rsidR="003B4D49" w:rsidRDefault="003B4D49" w:rsidP="003B4D49">
      <w:pPr>
        <w:pStyle w:val="NormalWeb"/>
        <w:rPr>
          <w:rFonts w:ascii="Arial" w:hAnsi="Arial" w:cs="Arial"/>
          <w:b/>
          <w:bCs/>
          <w:color w:val="000000"/>
          <w:sz w:val="20"/>
          <w:szCs w:val="20"/>
        </w:rPr>
      </w:pPr>
      <w:bookmarkStart w:id="8" w:name="OLE_LINK40"/>
      <w:bookmarkStart w:id="9" w:name="_Hlk141825054"/>
      <w:r>
        <w:rPr>
          <w:rFonts w:ascii="Arial" w:hAnsi="Arial" w:cs="Arial"/>
          <w:b/>
          <w:bCs/>
          <w:color w:val="000000"/>
          <w:sz w:val="20"/>
          <w:szCs w:val="20"/>
        </w:rPr>
        <w:t>Master Circular - Guarantees and Co-acceptances</w:t>
      </w:r>
    </w:p>
    <w:bookmarkEnd w:id="8"/>
    <w:p w14:paraId="7635AF17"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RBI/2023-24/04</w:t>
      </w:r>
      <w:r>
        <w:rPr>
          <w:rFonts w:ascii="Arial" w:hAnsi="Arial" w:cs="Arial"/>
          <w:color w:val="000000"/>
          <w:sz w:val="20"/>
          <w:szCs w:val="20"/>
        </w:rPr>
        <w:br/>
        <w:t>DOR.STR.REC.5/13.07.010/2023-24</w:t>
      </w:r>
    </w:p>
    <w:p w14:paraId="048AF72D"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April 1, 2023</w:t>
      </w:r>
    </w:p>
    <w:p w14:paraId="62392986"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14:paraId="45FAF204"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Dear Sir / Madam</w:t>
      </w:r>
    </w:p>
    <w:p w14:paraId="4723525A"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14:paraId="311B2AC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7" w:tgtFrame="_blank" w:history="1">
        <w:r>
          <w:rPr>
            <w:rStyle w:val="Hyperlink"/>
            <w:rFonts w:ascii="Arial" w:hAnsi="Arial" w:cs="Arial"/>
            <w:sz w:val="20"/>
            <w:szCs w:val="20"/>
          </w:rPr>
          <w:t>Master Circular DOR.STR.REC.8/13.07.010/2022-23 dated April 1, 2022</w:t>
        </w:r>
      </w:hyperlink>
      <w:r>
        <w:rPr>
          <w:rFonts w:ascii="Arial" w:hAnsi="Arial" w:cs="Arial"/>
          <w:color w:val="000000"/>
          <w:sz w:val="20"/>
          <w:szCs w:val="20"/>
        </w:rPr>
        <w:t> consolidating the instructions / guidelines issued to banks till March 31, 2022, relating to Guarantees and Co-acceptances. This </w:t>
      </w:r>
      <w:hyperlink r:id="rId18" w:anchor="MC" w:history="1">
        <w:r>
          <w:rPr>
            <w:rStyle w:val="Hyperlink"/>
            <w:rFonts w:ascii="Arial" w:hAnsi="Arial" w:cs="Arial"/>
            <w:sz w:val="20"/>
            <w:szCs w:val="20"/>
          </w:rPr>
          <w:t>Master Circular</w:t>
        </w:r>
      </w:hyperlink>
      <w:r>
        <w:rPr>
          <w:rFonts w:ascii="Arial" w:hAnsi="Arial" w:cs="Arial"/>
          <w:color w:val="000000"/>
          <w:sz w:val="20"/>
          <w:szCs w:val="20"/>
        </w:rPr>
        <w:t> consolidates the instructions on the above matter issued up to March 31, 2023.</w:t>
      </w:r>
    </w:p>
    <w:p w14:paraId="7A45C7B8"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620BE876"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DE1D234" w14:textId="77777777" w:rsidR="003B4D49" w:rsidRDefault="003B4D49" w:rsidP="003B4D49">
      <w:pPr>
        <w:pStyle w:val="NormalWeb"/>
        <w:rPr>
          <w:rFonts w:ascii="Arial" w:hAnsi="Arial" w:cs="Arial"/>
          <w:color w:val="000000"/>
          <w:sz w:val="20"/>
          <w:szCs w:val="20"/>
        </w:rPr>
      </w:pPr>
    </w:p>
    <w:p w14:paraId="5B49FED7" w14:textId="77777777" w:rsidR="003B4D49" w:rsidRDefault="003B4D49" w:rsidP="003B4D49">
      <w:pPr>
        <w:pStyle w:val="NormalWeb"/>
        <w:rPr>
          <w:rFonts w:ascii="Arial" w:hAnsi="Arial" w:cs="Arial"/>
          <w:color w:val="000000"/>
          <w:sz w:val="20"/>
          <w:szCs w:val="20"/>
        </w:rPr>
      </w:pPr>
    </w:p>
    <w:p w14:paraId="40C251F3" w14:textId="77777777" w:rsidR="003B4D49" w:rsidRDefault="003B4D49" w:rsidP="003B4D49">
      <w:r>
        <w:t>More details can be referred to in the below link.</w:t>
      </w:r>
    </w:p>
    <w:p w14:paraId="79CEBAEE" w14:textId="77777777" w:rsidR="003B4D49" w:rsidRDefault="003B4D49" w:rsidP="003B4D49">
      <w:pPr>
        <w:pStyle w:val="NormalWeb"/>
        <w:rPr>
          <w:rFonts w:ascii="Arial" w:hAnsi="Arial" w:cs="Arial"/>
          <w:color w:val="000000"/>
          <w:sz w:val="20"/>
          <w:szCs w:val="20"/>
        </w:rPr>
      </w:pPr>
      <w:r>
        <w:rPr>
          <w:rFonts w:ascii="Arial" w:hAnsi="Arial" w:cs="Arial"/>
          <w:bCs/>
          <w:color w:val="000000"/>
          <w:sz w:val="20"/>
          <w:szCs w:val="20"/>
        </w:rPr>
        <w:t>Reference Link:</w:t>
      </w:r>
      <w:r>
        <w:rPr>
          <w:rFonts w:ascii="Arial" w:hAnsi="Arial" w:cs="Arial"/>
          <w:color w:val="000000"/>
          <w:sz w:val="20"/>
          <w:szCs w:val="20"/>
        </w:rPr>
        <w:t xml:space="preserve"> </w:t>
      </w:r>
      <w:hyperlink r:id="rId19" w:history="1">
        <w:r w:rsidRPr="005F425E">
          <w:rPr>
            <w:rStyle w:val="Hyperlink"/>
            <w:rFonts w:ascii="Arial" w:hAnsi="Arial" w:cs="Arial"/>
            <w:sz w:val="20"/>
            <w:szCs w:val="20"/>
          </w:rPr>
          <w:t>https://rbi.org.in/Scripts/NotificationUser.aspx?Id=12471&amp;Mode=0</w:t>
        </w:r>
      </w:hyperlink>
    </w:p>
    <w:p w14:paraId="0AE62CA2" w14:textId="77777777" w:rsidR="003B4D49" w:rsidRDefault="003B4D49" w:rsidP="003B4D49">
      <w:pPr>
        <w:pStyle w:val="NormalWeb"/>
        <w:rPr>
          <w:rFonts w:ascii="Arial" w:hAnsi="Arial" w:cs="Arial"/>
          <w:color w:val="000000"/>
          <w:sz w:val="20"/>
          <w:szCs w:val="20"/>
        </w:rPr>
      </w:pPr>
    </w:p>
    <w:p w14:paraId="3B4AF32E" w14:textId="77777777" w:rsidR="003B4D49" w:rsidRDefault="003B4D49" w:rsidP="003B4D49">
      <w:pPr>
        <w:pStyle w:val="NormalWeb"/>
        <w:rPr>
          <w:rFonts w:ascii="Arial" w:hAnsi="Arial" w:cs="Arial"/>
          <w:color w:val="000000"/>
          <w:sz w:val="20"/>
          <w:szCs w:val="20"/>
        </w:rPr>
      </w:pPr>
    </w:p>
    <w:p w14:paraId="45600B9F" w14:textId="77777777" w:rsidR="003B4D49" w:rsidRDefault="003B4D49" w:rsidP="003B4D49">
      <w:pPr>
        <w:pStyle w:val="NormalWeb"/>
        <w:rPr>
          <w:rFonts w:ascii="Arial" w:hAnsi="Arial" w:cs="Arial"/>
          <w:color w:val="000000"/>
          <w:sz w:val="20"/>
          <w:szCs w:val="20"/>
        </w:rPr>
      </w:pPr>
    </w:p>
    <w:p w14:paraId="10AA996C" w14:textId="77777777" w:rsidR="003B4D49" w:rsidRDefault="003B4D49" w:rsidP="003B4D49">
      <w:pPr>
        <w:pStyle w:val="NormalWeb"/>
        <w:rPr>
          <w:rFonts w:ascii="Arial" w:hAnsi="Arial" w:cs="Arial"/>
          <w:color w:val="000000"/>
          <w:sz w:val="20"/>
          <w:szCs w:val="20"/>
        </w:rPr>
      </w:pPr>
    </w:p>
    <w:p w14:paraId="7BCC82B9" w14:textId="77777777" w:rsidR="003B4D49" w:rsidRDefault="003B4D49" w:rsidP="003B4D49">
      <w:pPr>
        <w:pStyle w:val="NormalWeb"/>
        <w:rPr>
          <w:rFonts w:ascii="Arial" w:hAnsi="Arial" w:cs="Arial"/>
          <w:color w:val="000000"/>
          <w:sz w:val="20"/>
          <w:szCs w:val="20"/>
        </w:rPr>
      </w:pPr>
    </w:p>
    <w:p w14:paraId="6FBFDFC7" w14:textId="77777777" w:rsidR="003B4D49" w:rsidRDefault="003B4D49" w:rsidP="003B4D49">
      <w:pPr>
        <w:pStyle w:val="NormalWeb"/>
        <w:rPr>
          <w:rFonts w:ascii="Arial" w:hAnsi="Arial" w:cs="Arial"/>
          <w:color w:val="000000"/>
          <w:sz w:val="20"/>
          <w:szCs w:val="20"/>
        </w:rPr>
      </w:pPr>
    </w:p>
    <w:p w14:paraId="2EF8B6C7" w14:textId="77777777" w:rsidR="003B4D49" w:rsidRDefault="003B4D49" w:rsidP="003B4D49">
      <w:pPr>
        <w:pStyle w:val="NormalWeb"/>
        <w:rPr>
          <w:rFonts w:ascii="Arial" w:hAnsi="Arial" w:cs="Arial"/>
          <w:color w:val="000000"/>
          <w:sz w:val="20"/>
          <w:szCs w:val="20"/>
        </w:rPr>
      </w:pPr>
    </w:p>
    <w:p w14:paraId="1688AFE9" w14:textId="77777777" w:rsidR="003B4D49" w:rsidRDefault="003B4D49" w:rsidP="003B4D49">
      <w:pPr>
        <w:pStyle w:val="NormalWeb"/>
        <w:rPr>
          <w:rFonts w:ascii="Arial" w:hAnsi="Arial" w:cs="Arial"/>
          <w:color w:val="000000"/>
          <w:sz w:val="20"/>
          <w:szCs w:val="20"/>
        </w:rPr>
      </w:pPr>
    </w:p>
    <w:p w14:paraId="14D1394A" w14:textId="77777777" w:rsidR="003B4D49" w:rsidRDefault="003B4D49" w:rsidP="003B4D49">
      <w:pPr>
        <w:pStyle w:val="NormalWeb"/>
        <w:rPr>
          <w:rFonts w:ascii="Arial" w:hAnsi="Arial" w:cs="Arial"/>
          <w:color w:val="000000"/>
          <w:sz w:val="20"/>
          <w:szCs w:val="20"/>
        </w:rPr>
      </w:pPr>
    </w:p>
    <w:p w14:paraId="398F95D6" w14:textId="77777777" w:rsidR="003B4D49" w:rsidRDefault="003B4D49" w:rsidP="003B4D49">
      <w:pPr>
        <w:pStyle w:val="NormalWeb"/>
        <w:rPr>
          <w:rFonts w:ascii="Arial" w:hAnsi="Arial" w:cs="Arial"/>
          <w:color w:val="000000"/>
          <w:sz w:val="20"/>
          <w:szCs w:val="20"/>
        </w:rPr>
      </w:pPr>
    </w:p>
    <w:p w14:paraId="5474174C" w14:textId="77777777" w:rsidR="003B4D49" w:rsidRDefault="003B4D49" w:rsidP="003B4D49">
      <w:pPr>
        <w:pStyle w:val="NormalWeb"/>
        <w:rPr>
          <w:rFonts w:ascii="Arial" w:hAnsi="Arial" w:cs="Arial"/>
          <w:color w:val="000000"/>
          <w:sz w:val="20"/>
          <w:szCs w:val="20"/>
        </w:rPr>
      </w:pPr>
    </w:p>
    <w:bookmarkEnd w:id="9"/>
    <w:p w14:paraId="770E5FD5" w14:textId="77777777" w:rsidR="003B4D49" w:rsidRDefault="003B4D49" w:rsidP="00B31EE1">
      <w:pPr>
        <w:rPr>
          <w:b/>
          <w:bCs/>
          <w:lang w:val="en-US"/>
        </w:rPr>
      </w:pPr>
    </w:p>
    <w:p w14:paraId="5C152593" w14:textId="77777777" w:rsidR="003B4D49" w:rsidRDefault="003B4D49" w:rsidP="003B4D49">
      <w:pPr>
        <w:pStyle w:val="NormalWeb"/>
        <w:rPr>
          <w:rFonts w:ascii="Arial" w:hAnsi="Arial" w:cs="Arial"/>
          <w:b/>
          <w:bCs/>
          <w:color w:val="000000"/>
          <w:sz w:val="20"/>
          <w:szCs w:val="20"/>
        </w:rPr>
      </w:pPr>
      <w:bookmarkStart w:id="10" w:name="OLE_LINK45"/>
      <w:bookmarkStart w:id="11" w:name="_Hlk141825116"/>
      <w:r>
        <w:rPr>
          <w:rFonts w:ascii="Arial" w:hAnsi="Arial" w:cs="Arial"/>
          <w:b/>
          <w:bCs/>
          <w:color w:val="000000"/>
          <w:sz w:val="20"/>
          <w:szCs w:val="20"/>
        </w:rPr>
        <w:t>Master Circular - Bank Finance to Non-Banking Financial Companies (NBFCs)</w:t>
      </w:r>
    </w:p>
    <w:bookmarkEnd w:id="10"/>
    <w:p w14:paraId="324F68CC"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RBI/2023-24/09</w:t>
      </w:r>
      <w:r>
        <w:rPr>
          <w:rFonts w:ascii="Arial" w:hAnsi="Arial" w:cs="Arial"/>
          <w:color w:val="000000"/>
          <w:sz w:val="20"/>
          <w:szCs w:val="20"/>
        </w:rPr>
        <w:br/>
        <w:t>DOR.CRE.REC.No.07/21.04.172/2023-24</w:t>
      </w:r>
    </w:p>
    <w:p w14:paraId="2B741F45"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April 03, 2023</w:t>
      </w:r>
    </w:p>
    <w:p w14:paraId="20E066A5"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14:paraId="5BCE93D8"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 Dear Sir,</w:t>
      </w:r>
    </w:p>
    <w:p w14:paraId="1F0A9F63" w14:textId="77777777" w:rsidR="003B4D49" w:rsidRDefault="003B4D49" w:rsidP="003B4D49">
      <w:pPr>
        <w:pStyle w:val="head"/>
        <w:jc w:val="center"/>
        <w:rPr>
          <w:rFonts w:ascii="Arial" w:hAnsi="Arial" w:cs="Arial"/>
          <w:b/>
          <w:bCs/>
          <w:color w:val="000000"/>
          <w:sz w:val="20"/>
          <w:szCs w:val="20"/>
        </w:rPr>
      </w:pPr>
      <w:r>
        <w:rPr>
          <w:rFonts w:ascii="Arial" w:hAnsi="Arial" w:cs="Arial"/>
          <w:b/>
          <w:bCs/>
          <w:color w:val="000000"/>
          <w:sz w:val="20"/>
          <w:szCs w:val="20"/>
        </w:rPr>
        <w:t>Master Circular - Bank Finance to Non-Banking Financial Companies (NBFCs)</w:t>
      </w:r>
    </w:p>
    <w:p w14:paraId="75914B3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20" w:tgtFrame="_blank" w:history="1">
        <w:r>
          <w:rPr>
            <w:rStyle w:val="Hyperlink"/>
            <w:rFonts w:ascii="Arial" w:hAnsi="Arial" w:cs="Arial"/>
            <w:sz w:val="20"/>
            <w:szCs w:val="20"/>
          </w:rPr>
          <w:t>Master Circular DOR.CRE.REC.No.07/21.04.172/2022-23 dated April 01, 2022</w:t>
        </w:r>
      </w:hyperlink>
      <w:r>
        <w:rPr>
          <w:rFonts w:ascii="Arial" w:hAnsi="Arial" w:cs="Arial"/>
          <w:color w:val="000000"/>
          <w:sz w:val="20"/>
          <w:szCs w:val="20"/>
        </w:rPr>
        <w:t> on the captioned subject. This </w:t>
      </w:r>
      <w:hyperlink r:id="rId21"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14:paraId="62005ECA"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4341607F"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3E1FBE4E" w14:textId="77777777" w:rsidR="003B4D49" w:rsidRDefault="003B4D49" w:rsidP="003B4D49">
      <w:pPr>
        <w:pStyle w:val="NormalWeb"/>
        <w:rPr>
          <w:rFonts w:ascii="Arial" w:hAnsi="Arial" w:cs="Arial"/>
          <w:bCs/>
          <w:color w:val="000000"/>
          <w:sz w:val="20"/>
          <w:szCs w:val="20"/>
        </w:rPr>
      </w:pPr>
    </w:p>
    <w:p w14:paraId="62D48BD4" w14:textId="77777777" w:rsidR="003B4D49" w:rsidRDefault="003B4D49" w:rsidP="003B4D49">
      <w:r>
        <w:t>More details can be referred to in the below link.</w:t>
      </w:r>
    </w:p>
    <w:p w14:paraId="0F052786"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22" w:history="1">
        <w:r w:rsidRPr="005F425E">
          <w:rPr>
            <w:rStyle w:val="Hyperlink"/>
            <w:rFonts w:ascii="Arial" w:hAnsi="Arial" w:cs="Arial"/>
            <w:bCs/>
            <w:sz w:val="20"/>
            <w:szCs w:val="20"/>
          </w:rPr>
          <w:t>https://rbi.org.in/Scripts/NotificationUser.aspx?Id=12476&amp;Mode=0</w:t>
        </w:r>
      </w:hyperlink>
    </w:p>
    <w:p w14:paraId="53C9FB8C" w14:textId="77777777" w:rsidR="003B4D49" w:rsidRDefault="003B4D49" w:rsidP="003B4D49">
      <w:pPr>
        <w:pStyle w:val="NormalWeb"/>
        <w:rPr>
          <w:rFonts w:ascii="Arial" w:hAnsi="Arial" w:cs="Arial"/>
          <w:bCs/>
          <w:color w:val="000000"/>
          <w:sz w:val="20"/>
          <w:szCs w:val="20"/>
        </w:rPr>
      </w:pPr>
    </w:p>
    <w:p w14:paraId="06C408B9" w14:textId="77777777" w:rsidR="003B4D49" w:rsidRDefault="003B4D49" w:rsidP="003B4D49">
      <w:pPr>
        <w:pStyle w:val="NormalWeb"/>
        <w:rPr>
          <w:rFonts w:ascii="Arial" w:hAnsi="Arial" w:cs="Arial"/>
          <w:bCs/>
          <w:color w:val="000000"/>
          <w:sz w:val="20"/>
          <w:szCs w:val="20"/>
        </w:rPr>
      </w:pPr>
    </w:p>
    <w:p w14:paraId="298F5309" w14:textId="77777777" w:rsidR="003B4D49" w:rsidRDefault="003B4D49" w:rsidP="003B4D49">
      <w:pPr>
        <w:pStyle w:val="NormalWeb"/>
        <w:rPr>
          <w:rFonts w:ascii="Arial" w:hAnsi="Arial" w:cs="Arial"/>
          <w:bCs/>
          <w:color w:val="000000"/>
          <w:sz w:val="20"/>
          <w:szCs w:val="20"/>
        </w:rPr>
      </w:pPr>
    </w:p>
    <w:p w14:paraId="7A715217" w14:textId="77777777" w:rsidR="003B4D49" w:rsidRDefault="003B4D49" w:rsidP="003B4D49">
      <w:pPr>
        <w:pStyle w:val="NormalWeb"/>
        <w:rPr>
          <w:rFonts w:ascii="Arial" w:hAnsi="Arial" w:cs="Arial"/>
          <w:bCs/>
          <w:color w:val="000000"/>
          <w:sz w:val="20"/>
          <w:szCs w:val="20"/>
        </w:rPr>
      </w:pPr>
    </w:p>
    <w:p w14:paraId="686723AE" w14:textId="77777777" w:rsidR="003B4D49" w:rsidRDefault="003B4D49" w:rsidP="003B4D49">
      <w:pPr>
        <w:pStyle w:val="NormalWeb"/>
        <w:rPr>
          <w:rFonts w:ascii="Arial" w:hAnsi="Arial" w:cs="Arial"/>
          <w:bCs/>
          <w:color w:val="000000"/>
          <w:sz w:val="20"/>
          <w:szCs w:val="20"/>
        </w:rPr>
      </w:pPr>
    </w:p>
    <w:p w14:paraId="57D0B6A2" w14:textId="77777777" w:rsidR="003B4D49" w:rsidRDefault="003B4D49" w:rsidP="003B4D49">
      <w:pPr>
        <w:pStyle w:val="NormalWeb"/>
        <w:rPr>
          <w:rFonts w:ascii="Arial" w:hAnsi="Arial" w:cs="Arial"/>
          <w:bCs/>
          <w:color w:val="000000"/>
          <w:sz w:val="20"/>
          <w:szCs w:val="20"/>
        </w:rPr>
      </w:pPr>
    </w:p>
    <w:p w14:paraId="7CFB3851" w14:textId="77777777" w:rsidR="003B4D49" w:rsidRDefault="003B4D49" w:rsidP="003B4D49">
      <w:pPr>
        <w:pStyle w:val="NormalWeb"/>
        <w:rPr>
          <w:rFonts w:ascii="Arial" w:hAnsi="Arial" w:cs="Arial"/>
          <w:bCs/>
          <w:color w:val="000000"/>
          <w:sz w:val="20"/>
          <w:szCs w:val="20"/>
        </w:rPr>
      </w:pPr>
    </w:p>
    <w:p w14:paraId="4CAC88F7" w14:textId="77777777" w:rsidR="003B4D49" w:rsidRDefault="003B4D49" w:rsidP="003B4D49">
      <w:pPr>
        <w:pStyle w:val="NormalWeb"/>
        <w:rPr>
          <w:rFonts w:ascii="Arial" w:hAnsi="Arial" w:cs="Arial"/>
          <w:bCs/>
          <w:color w:val="000000"/>
          <w:sz w:val="20"/>
          <w:szCs w:val="20"/>
        </w:rPr>
      </w:pPr>
    </w:p>
    <w:p w14:paraId="120F4A38" w14:textId="77777777" w:rsidR="003B4D49" w:rsidRDefault="003B4D49" w:rsidP="003B4D49">
      <w:pPr>
        <w:pStyle w:val="NormalWeb"/>
        <w:rPr>
          <w:rFonts w:ascii="Arial" w:hAnsi="Arial" w:cs="Arial"/>
          <w:bCs/>
          <w:color w:val="000000"/>
          <w:sz w:val="20"/>
          <w:szCs w:val="20"/>
        </w:rPr>
      </w:pPr>
    </w:p>
    <w:p w14:paraId="6F9EFBB1" w14:textId="77777777" w:rsidR="003B4D49" w:rsidRDefault="003B4D49" w:rsidP="003B4D49">
      <w:pPr>
        <w:pStyle w:val="NormalWeb"/>
        <w:rPr>
          <w:rFonts w:ascii="Arial" w:hAnsi="Arial" w:cs="Arial"/>
          <w:bCs/>
          <w:color w:val="000000"/>
          <w:sz w:val="20"/>
          <w:szCs w:val="20"/>
        </w:rPr>
      </w:pPr>
    </w:p>
    <w:p w14:paraId="412A9BBA" w14:textId="77777777" w:rsidR="003B4D49" w:rsidRDefault="003B4D49" w:rsidP="003B4D49">
      <w:pPr>
        <w:pStyle w:val="NormalWeb"/>
        <w:rPr>
          <w:rFonts w:ascii="Arial" w:hAnsi="Arial" w:cs="Arial"/>
          <w:bCs/>
          <w:color w:val="000000"/>
          <w:sz w:val="20"/>
          <w:szCs w:val="20"/>
        </w:rPr>
      </w:pPr>
    </w:p>
    <w:p w14:paraId="1AA5141A" w14:textId="77777777" w:rsidR="003B4D49" w:rsidRDefault="003B4D49" w:rsidP="003B4D49">
      <w:pPr>
        <w:pStyle w:val="NormalWeb"/>
        <w:rPr>
          <w:rFonts w:ascii="Arial" w:hAnsi="Arial" w:cs="Arial"/>
          <w:bCs/>
          <w:color w:val="000000"/>
          <w:sz w:val="20"/>
          <w:szCs w:val="20"/>
        </w:rPr>
      </w:pPr>
    </w:p>
    <w:bookmarkEnd w:id="11"/>
    <w:p w14:paraId="00C17ADA" w14:textId="77777777" w:rsidR="003B4D49" w:rsidRDefault="003B4D49" w:rsidP="00B31EE1">
      <w:pPr>
        <w:rPr>
          <w:b/>
          <w:bCs/>
          <w:lang w:val="en-US"/>
        </w:rPr>
      </w:pPr>
    </w:p>
    <w:p w14:paraId="1C5C8EFB" w14:textId="77777777" w:rsidR="003B4D49" w:rsidRDefault="003B4D49" w:rsidP="00B31EE1">
      <w:pPr>
        <w:rPr>
          <w:b/>
          <w:bCs/>
          <w:lang w:val="en-US"/>
        </w:rPr>
      </w:pPr>
    </w:p>
    <w:p w14:paraId="2C3397FA" w14:textId="77777777" w:rsidR="003B4D49" w:rsidRDefault="003B4D49" w:rsidP="003B4D49">
      <w:pPr>
        <w:pStyle w:val="NormalWeb"/>
        <w:rPr>
          <w:rFonts w:ascii="Arial" w:hAnsi="Arial" w:cs="Arial"/>
          <w:b/>
          <w:bCs/>
          <w:color w:val="000000"/>
          <w:sz w:val="20"/>
          <w:szCs w:val="20"/>
        </w:rPr>
      </w:pPr>
      <w:bookmarkStart w:id="12" w:name="_Hlk141826365"/>
      <w:r>
        <w:rPr>
          <w:rFonts w:ascii="Arial" w:hAnsi="Arial" w:cs="Arial"/>
          <w:b/>
          <w:bCs/>
          <w:color w:val="000000"/>
          <w:sz w:val="20"/>
          <w:szCs w:val="20"/>
        </w:rPr>
        <w:t>Master Circular- Prudential Norms on Capital Adequacy - Primary (Urban) Co-operative Banks (UCBs)</w:t>
      </w:r>
    </w:p>
    <w:p w14:paraId="525A2630"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RBI/2023-24/17</w:t>
      </w:r>
      <w:r>
        <w:rPr>
          <w:rFonts w:ascii="Arial" w:hAnsi="Arial" w:cs="Arial"/>
          <w:color w:val="000000"/>
          <w:sz w:val="20"/>
          <w:szCs w:val="20"/>
        </w:rPr>
        <w:br/>
        <w:t>DOR.CAP.REC.11/09.18.201/2023-24</w:t>
      </w:r>
    </w:p>
    <w:p w14:paraId="6777ED81"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April 20, 2023</w:t>
      </w:r>
    </w:p>
    <w:p w14:paraId="7EDF678B"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5B943F19"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Dear Sir / Madam,</w:t>
      </w:r>
    </w:p>
    <w:p w14:paraId="614588CF"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Master Circular - Prudential Norms on Capital Adequacy - Primary (Urban) Co-operative Banks (UCBs)</w:t>
      </w:r>
    </w:p>
    <w:p w14:paraId="439E482A"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23" w:tgtFrame="_blank" w:history="1">
        <w:r>
          <w:rPr>
            <w:rStyle w:val="Hyperlink"/>
            <w:rFonts w:ascii="Arial" w:hAnsi="Arial" w:cs="Arial"/>
            <w:sz w:val="20"/>
            <w:szCs w:val="20"/>
          </w:rPr>
          <w:t>Master Circular DOR.CAP.REC.2/09.18.201/2022-23 dated April 1, 2022</w:t>
        </w:r>
      </w:hyperlink>
      <w:r>
        <w:rPr>
          <w:rFonts w:ascii="Arial" w:hAnsi="Arial" w:cs="Arial"/>
          <w:color w:val="000000"/>
          <w:sz w:val="20"/>
          <w:szCs w:val="20"/>
        </w:rPr>
        <w:t> on the captioned subject.</w:t>
      </w:r>
    </w:p>
    <w:p w14:paraId="2A433A5E"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2. The enclosed </w:t>
      </w:r>
      <w:hyperlink r:id="rId24"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April 19, 2023 as listed in the </w:t>
      </w:r>
      <w:hyperlink r:id="rId25" w:anchor="APP" w:history="1">
        <w:r>
          <w:rPr>
            <w:rStyle w:val="Hyperlink"/>
            <w:rFonts w:ascii="Arial" w:hAnsi="Arial" w:cs="Arial"/>
            <w:sz w:val="20"/>
            <w:szCs w:val="20"/>
          </w:rPr>
          <w:t>Appendix</w:t>
        </w:r>
      </w:hyperlink>
      <w:r>
        <w:rPr>
          <w:rFonts w:ascii="Arial" w:hAnsi="Arial" w:cs="Arial"/>
          <w:color w:val="000000"/>
          <w:sz w:val="20"/>
          <w:szCs w:val="20"/>
        </w:rPr>
        <w:t>.</w:t>
      </w:r>
    </w:p>
    <w:p w14:paraId="7022EA15"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067B21D7"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3CCDF279" w14:textId="77777777" w:rsidR="003B4D49" w:rsidRDefault="003B4D49" w:rsidP="003B4D49">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43DBDCBB" w14:textId="77777777" w:rsidR="003B4D49" w:rsidRDefault="003B4D49" w:rsidP="003B4D49">
      <w:pPr>
        <w:pStyle w:val="NormalWeb"/>
        <w:rPr>
          <w:rFonts w:ascii="Arial" w:hAnsi="Arial" w:cs="Arial"/>
          <w:bCs/>
          <w:color w:val="000000"/>
          <w:sz w:val="20"/>
          <w:szCs w:val="20"/>
        </w:rPr>
      </w:pPr>
    </w:p>
    <w:p w14:paraId="64AFC46D" w14:textId="77777777" w:rsidR="003B4D49" w:rsidRDefault="003B4D49" w:rsidP="003B4D49">
      <w:pPr>
        <w:pStyle w:val="NormalWeb"/>
        <w:rPr>
          <w:rFonts w:ascii="Arial" w:hAnsi="Arial" w:cs="Arial"/>
          <w:bCs/>
          <w:color w:val="000000"/>
          <w:sz w:val="20"/>
          <w:szCs w:val="20"/>
        </w:rPr>
      </w:pPr>
    </w:p>
    <w:p w14:paraId="460F8947" w14:textId="77777777" w:rsidR="003B4D49" w:rsidRDefault="003B4D49" w:rsidP="003B4D49">
      <w:pPr>
        <w:spacing w:after="0"/>
      </w:pPr>
      <w:r>
        <w:t>More details can be referred to in the below link.</w:t>
      </w:r>
    </w:p>
    <w:p w14:paraId="5D12300C"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6" w:history="1">
        <w:r w:rsidRPr="005F425E">
          <w:rPr>
            <w:rStyle w:val="Hyperlink"/>
            <w:rFonts w:ascii="Arial" w:hAnsi="Arial" w:cs="Arial"/>
            <w:bCs/>
            <w:sz w:val="20"/>
            <w:szCs w:val="20"/>
          </w:rPr>
          <w:t>https://rbi.org.in/Scripts/NotificationUser.aspx?Id=12490&amp;Mode=0</w:t>
        </w:r>
      </w:hyperlink>
    </w:p>
    <w:p w14:paraId="1DCA3299" w14:textId="77777777" w:rsidR="003B4D49" w:rsidRDefault="003B4D49" w:rsidP="003B4D49">
      <w:pPr>
        <w:pStyle w:val="NormalWeb"/>
        <w:rPr>
          <w:rFonts w:ascii="Arial" w:hAnsi="Arial" w:cs="Arial"/>
          <w:bCs/>
          <w:color w:val="000000"/>
          <w:sz w:val="20"/>
          <w:szCs w:val="20"/>
        </w:rPr>
      </w:pPr>
    </w:p>
    <w:p w14:paraId="7103E32F" w14:textId="77777777" w:rsidR="003B4D49" w:rsidRDefault="003B4D49" w:rsidP="003B4D49">
      <w:pPr>
        <w:pStyle w:val="NormalWeb"/>
        <w:rPr>
          <w:rFonts w:ascii="Arial" w:hAnsi="Arial" w:cs="Arial"/>
          <w:bCs/>
          <w:color w:val="000000"/>
          <w:sz w:val="20"/>
          <w:szCs w:val="20"/>
        </w:rPr>
      </w:pPr>
    </w:p>
    <w:p w14:paraId="3D2F667B" w14:textId="77777777" w:rsidR="003B4D49" w:rsidRDefault="003B4D49" w:rsidP="003B4D49">
      <w:pPr>
        <w:pStyle w:val="NormalWeb"/>
        <w:rPr>
          <w:rFonts w:ascii="Arial" w:hAnsi="Arial" w:cs="Arial"/>
          <w:bCs/>
          <w:color w:val="000000"/>
          <w:sz w:val="20"/>
          <w:szCs w:val="20"/>
        </w:rPr>
      </w:pPr>
    </w:p>
    <w:p w14:paraId="5E7B3F71" w14:textId="77777777" w:rsidR="003B4D49" w:rsidRDefault="003B4D49" w:rsidP="003B4D49">
      <w:pPr>
        <w:pStyle w:val="NormalWeb"/>
        <w:rPr>
          <w:rFonts w:ascii="Arial" w:hAnsi="Arial" w:cs="Arial"/>
          <w:color w:val="000000"/>
          <w:sz w:val="20"/>
          <w:szCs w:val="20"/>
        </w:rPr>
      </w:pPr>
    </w:p>
    <w:p w14:paraId="393DCC2F" w14:textId="77777777" w:rsidR="003B4D49" w:rsidRDefault="003B4D49" w:rsidP="003B4D49">
      <w:pPr>
        <w:pStyle w:val="NormalWeb"/>
        <w:rPr>
          <w:rFonts w:ascii="Arial" w:hAnsi="Arial" w:cs="Arial"/>
          <w:color w:val="000000"/>
          <w:sz w:val="20"/>
          <w:szCs w:val="20"/>
        </w:rPr>
      </w:pPr>
    </w:p>
    <w:p w14:paraId="12CF03C3" w14:textId="77777777" w:rsidR="003B4D49" w:rsidRDefault="003B4D49" w:rsidP="003B4D49">
      <w:pPr>
        <w:pStyle w:val="NormalWeb"/>
        <w:rPr>
          <w:rFonts w:ascii="Arial" w:hAnsi="Arial" w:cs="Arial"/>
          <w:color w:val="000000"/>
          <w:sz w:val="20"/>
          <w:szCs w:val="20"/>
        </w:rPr>
      </w:pPr>
    </w:p>
    <w:p w14:paraId="04753001" w14:textId="6BE6D3B5" w:rsidR="003B4D49" w:rsidRDefault="003B4D49" w:rsidP="003B4D49">
      <w:pPr>
        <w:pStyle w:val="NormalWeb"/>
        <w:rPr>
          <w:rFonts w:ascii="Arial" w:hAnsi="Arial" w:cs="Arial"/>
          <w:b/>
          <w:bCs/>
          <w:color w:val="000000"/>
          <w:sz w:val="20"/>
          <w:szCs w:val="20"/>
        </w:rPr>
      </w:pPr>
      <w:bookmarkStart w:id="13" w:name="_Hlk141829312"/>
      <w:bookmarkStart w:id="14" w:name="_Hlk141825238"/>
      <w:bookmarkEnd w:id="12"/>
      <w:r>
        <w:rPr>
          <w:rFonts w:ascii="Arial" w:hAnsi="Arial" w:cs="Arial"/>
          <w:b/>
          <w:bCs/>
          <w:color w:val="000000"/>
          <w:sz w:val="20"/>
          <w:szCs w:val="20"/>
        </w:rPr>
        <w:lastRenderedPageBreak/>
        <w:t>Provisioning for standard assets by primary (Urban) co-operative banks – revised norms under four-tiered regulatory framework</w:t>
      </w:r>
    </w:p>
    <w:p w14:paraId="1EBF3ED4" w14:textId="77777777" w:rsidR="003B4D49" w:rsidRDefault="003B4D49" w:rsidP="003B4D49">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RBI/2023-24/18</w:t>
      </w:r>
      <w:r>
        <w:rPr>
          <w:rFonts w:ascii="Arial" w:hAnsi="Arial" w:cs="Arial"/>
          <w:color w:val="000000"/>
          <w:sz w:val="20"/>
          <w:szCs w:val="20"/>
        </w:rPr>
        <w:br/>
        <w:t>DOR.STR.REC.12/21.04.048/2023-24</w:t>
      </w:r>
    </w:p>
    <w:p w14:paraId="29DA01CA" w14:textId="77777777" w:rsidR="003B4D49" w:rsidRDefault="003B4D49" w:rsidP="003B4D49">
      <w:pPr>
        <w:pStyle w:val="NormalWeb"/>
        <w:spacing w:before="0" w:beforeAutospacing="0"/>
        <w:jc w:val="right"/>
        <w:rPr>
          <w:rFonts w:ascii="Arial" w:hAnsi="Arial" w:cs="Arial"/>
          <w:color w:val="000000"/>
          <w:sz w:val="20"/>
          <w:szCs w:val="20"/>
        </w:rPr>
      </w:pPr>
      <w:r>
        <w:rPr>
          <w:rFonts w:ascii="Arial" w:hAnsi="Arial" w:cs="Arial"/>
          <w:color w:val="000000"/>
          <w:sz w:val="20"/>
          <w:szCs w:val="20"/>
        </w:rPr>
        <w:t>April 24, 2023</w:t>
      </w:r>
    </w:p>
    <w:p w14:paraId="2B8373C2" w14:textId="77777777" w:rsidR="003B4D49" w:rsidRDefault="003B4D49" w:rsidP="003B4D49">
      <w:pPr>
        <w:pStyle w:val="NormalWeb"/>
        <w:spacing w:after="0" w:afterAutospacing="0"/>
        <w:jc w:val="both"/>
        <w:rPr>
          <w:rFonts w:ascii="Arial" w:hAnsi="Arial" w:cs="Arial"/>
          <w:color w:val="000000"/>
          <w:sz w:val="20"/>
          <w:szCs w:val="20"/>
        </w:rPr>
      </w:pPr>
      <w:r>
        <w:rPr>
          <w:rFonts w:ascii="Arial" w:hAnsi="Arial" w:cs="Arial"/>
          <w:color w:val="000000"/>
          <w:sz w:val="20"/>
          <w:szCs w:val="20"/>
        </w:rPr>
        <w:t>All Primary (Urban) Co-operative Banks,</w:t>
      </w:r>
    </w:p>
    <w:p w14:paraId="6CFC96FE"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 / Dear Sir,</w:t>
      </w:r>
    </w:p>
    <w:p w14:paraId="31396CFC"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Provisioning for standard assets by primary (Urban) co-operative banks – revised norms under four-tiered regulatory framework</w:t>
      </w:r>
    </w:p>
    <w:p w14:paraId="0316C9CE"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Please refer to </w:t>
      </w:r>
      <w:hyperlink r:id="rId27" w:tgtFrame="_blank" w:history="1">
        <w:r>
          <w:rPr>
            <w:rStyle w:val="Hyperlink"/>
            <w:rFonts w:ascii="Arial" w:hAnsi="Arial" w:cs="Arial"/>
            <w:sz w:val="20"/>
            <w:szCs w:val="20"/>
          </w:rPr>
          <w:t>circular DOR.REG.No.84/07.01.000/2022-23 dated December 01, 2022</w:t>
        </w:r>
      </w:hyperlink>
      <w:r>
        <w:rPr>
          <w:rFonts w:ascii="Arial" w:hAnsi="Arial" w:cs="Arial"/>
          <w:color w:val="000000"/>
          <w:sz w:val="20"/>
          <w:szCs w:val="20"/>
        </w:rPr>
        <w:t>, in terms of which Urban Co-operative Banks (UCBs) have been categorized into four Tiers namely Tier 1, Tier 2, Tier 3 and Tier 4 for regulatory purposes.</w:t>
      </w:r>
    </w:p>
    <w:p w14:paraId="1C48978A"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2. The current standard assets provisioning norms for UCBs, consolidated in the </w:t>
      </w:r>
      <w:hyperlink r:id="rId28" w:tgtFrame="_blank" w:history="1">
        <w:r>
          <w:rPr>
            <w:rStyle w:val="Hyperlink"/>
            <w:rFonts w:ascii="Arial" w:hAnsi="Arial" w:cs="Arial"/>
            <w:sz w:val="20"/>
            <w:szCs w:val="20"/>
          </w:rPr>
          <w:t>Master Circular DOR.STR.REC.5/21.04.048/2022-23 dated April 01, 2022</w:t>
        </w:r>
      </w:hyperlink>
      <w:r>
        <w:rPr>
          <w:rFonts w:ascii="Arial" w:hAnsi="Arial" w:cs="Arial"/>
          <w:color w:val="000000"/>
          <w:sz w:val="20"/>
          <w:szCs w:val="20"/>
        </w:rPr>
        <w:t>, are based on the earlier categorization of UCBs into Tier I and Tier II as defined in para 4 of </w:t>
      </w:r>
      <w:hyperlink r:id="rId29" w:tgtFrame="_blank" w:history="1">
        <w:r>
          <w:rPr>
            <w:rStyle w:val="Hyperlink"/>
            <w:rFonts w:ascii="Arial" w:hAnsi="Arial" w:cs="Arial"/>
            <w:sz w:val="20"/>
            <w:szCs w:val="20"/>
          </w:rPr>
          <w:t>circular UBD.CO.LS.Cir.No.66/07.01.000/2008-09 dated May 06, 2009</w:t>
        </w:r>
      </w:hyperlink>
      <w:r>
        <w:rPr>
          <w:rFonts w:ascii="Arial" w:hAnsi="Arial" w:cs="Arial"/>
          <w:color w:val="000000"/>
          <w:sz w:val="20"/>
          <w:szCs w:val="20"/>
        </w:rPr>
        <w:t>, as given below:</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5528"/>
        <w:gridCol w:w="993"/>
        <w:gridCol w:w="1134"/>
      </w:tblGrid>
      <w:tr w:rsidR="003B4D49" w14:paraId="50CC898D" w14:textId="77777777" w:rsidTr="00781F9A">
        <w:tc>
          <w:tcPr>
            <w:tcW w:w="497" w:type="pct"/>
            <w:vMerge w:val="restart"/>
            <w:tcMar>
              <w:top w:w="0" w:type="dxa"/>
              <w:left w:w="45" w:type="dxa"/>
              <w:bottom w:w="0" w:type="dxa"/>
              <w:right w:w="45" w:type="dxa"/>
            </w:tcMar>
            <w:vAlign w:val="center"/>
            <w:hideMark/>
          </w:tcPr>
          <w:p w14:paraId="27EA495A" w14:textId="77777777" w:rsidR="003B4D49" w:rsidRDefault="003B4D49" w:rsidP="00781F9A">
            <w:pPr>
              <w:jc w:val="center"/>
              <w:rPr>
                <w:rFonts w:ascii="Arial" w:hAnsi="Arial" w:cs="Arial"/>
                <w:color w:val="000000"/>
                <w:sz w:val="20"/>
                <w:szCs w:val="20"/>
              </w:rPr>
            </w:pPr>
            <w:r>
              <w:rPr>
                <w:rStyle w:val="head1"/>
                <w:rFonts w:ascii="Arial" w:hAnsi="Arial" w:cs="Arial"/>
                <w:b/>
                <w:bCs/>
                <w:color w:val="000000"/>
                <w:sz w:val="20"/>
                <w:szCs w:val="20"/>
              </w:rPr>
              <w:t>Sl. No.</w:t>
            </w:r>
          </w:p>
        </w:tc>
        <w:tc>
          <w:tcPr>
            <w:tcW w:w="3252" w:type="pct"/>
            <w:vMerge w:val="restart"/>
            <w:tcMar>
              <w:top w:w="0" w:type="dxa"/>
              <w:left w:w="45" w:type="dxa"/>
              <w:bottom w:w="0" w:type="dxa"/>
              <w:right w:w="45" w:type="dxa"/>
            </w:tcMar>
            <w:vAlign w:val="center"/>
            <w:hideMark/>
          </w:tcPr>
          <w:p w14:paraId="620CBF5C" w14:textId="77777777" w:rsidR="003B4D49" w:rsidRDefault="003B4D49" w:rsidP="00781F9A">
            <w:pPr>
              <w:spacing w:after="0"/>
              <w:jc w:val="center"/>
              <w:rPr>
                <w:rFonts w:ascii="Arial" w:hAnsi="Arial" w:cs="Arial"/>
                <w:color w:val="000000"/>
                <w:sz w:val="20"/>
                <w:szCs w:val="20"/>
              </w:rPr>
            </w:pPr>
            <w:r>
              <w:rPr>
                <w:rStyle w:val="head1"/>
                <w:rFonts w:ascii="Arial" w:hAnsi="Arial" w:cs="Arial"/>
                <w:b/>
                <w:bCs/>
                <w:color w:val="000000"/>
                <w:sz w:val="20"/>
                <w:szCs w:val="20"/>
              </w:rPr>
              <w:t>Category of Standard Asset</w:t>
            </w:r>
          </w:p>
        </w:tc>
        <w:tc>
          <w:tcPr>
            <w:tcW w:w="1251" w:type="pct"/>
            <w:gridSpan w:val="2"/>
            <w:tcMar>
              <w:top w:w="0" w:type="dxa"/>
              <w:left w:w="45" w:type="dxa"/>
              <w:bottom w:w="0" w:type="dxa"/>
              <w:right w:w="45" w:type="dxa"/>
            </w:tcMar>
            <w:vAlign w:val="center"/>
            <w:hideMark/>
          </w:tcPr>
          <w:p w14:paraId="1E161912" w14:textId="77777777" w:rsidR="003B4D49" w:rsidRDefault="003B4D49" w:rsidP="00781F9A">
            <w:pPr>
              <w:jc w:val="center"/>
              <w:rPr>
                <w:rFonts w:ascii="Arial" w:hAnsi="Arial" w:cs="Arial"/>
                <w:color w:val="000000"/>
                <w:sz w:val="20"/>
                <w:szCs w:val="20"/>
              </w:rPr>
            </w:pPr>
            <w:r>
              <w:rPr>
                <w:rStyle w:val="head1"/>
                <w:rFonts w:ascii="Arial" w:hAnsi="Arial" w:cs="Arial"/>
                <w:b/>
                <w:bCs/>
                <w:color w:val="000000"/>
                <w:sz w:val="20"/>
                <w:szCs w:val="20"/>
              </w:rPr>
              <w:t>Rate of Provisioning</w:t>
            </w:r>
          </w:p>
        </w:tc>
      </w:tr>
      <w:tr w:rsidR="003B4D49" w14:paraId="53377B8E" w14:textId="77777777" w:rsidTr="00781F9A">
        <w:trPr>
          <w:trHeight w:val="162"/>
        </w:trPr>
        <w:tc>
          <w:tcPr>
            <w:tcW w:w="497" w:type="pct"/>
            <w:vMerge/>
            <w:vAlign w:val="center"/>
            <w:hideMark/>
          </w:tcPr>
          <w:p w14:paraId="51C5C109" w14:textId="77777777" w:rsidR="003B4D49" w:rsidRDefault="003B4D49" w:rsidP="00781F9A">
            <w:pPr>
              <w:jc w:val="both"/>
              <w:rPr>
                <w:rFonts w:ascii="Arial" w:hAnsi="Arial" w:cs="Arial"/>
                <w:color w:val="000000"/>
                <w:sz w:val="20"/>
                <w:szCs w:val="20"/>
              </w:rPr>
            </w:pPr>
          </w:p>
        </w:tc>
        <w:tc>
          <w:tcPr>
            <w:tcW w:w="3252" w:type="pct"/>
            <w:vMerge/>
            <w:vAlign w:val="center"/>
            <w:hideMark/>
          </w:tcPr>
          <w:p w14:paraId="2A8B55CE" w14:textId="77777777" w:rsidR="003B4D49" w:rsidRDefault="003B4D49" w:rsidP="00781F9A">
            <w:pPr>
              <w:jc w:val="both"/>
              <w:rPr>
                <w:rFonts w:ascii="Arial" w:hAnsi="Arial" w:cs="Arial"/>
                <w:color w:val="000000"/>
                <w:sz w:val="20"/>
                <w:szCs w:val="20"/>
              </w:rPr>
            </w:pPr>
          </w:p>
        </w:tc>
        <w:tc>
          <w:tcPr>
            <w:tcW w:w="584" w:type="pct"/>
            <w:tcMar>
              <w:top w:w="0" w:type="dxa"/>
              <w:left w:w="45" w:type="dxa"/>
              <w:bottom w:w="0" w:type="dxa"/>
              <w:right w:w="45" w:type="dxa"/>
            </w:tcMar>
            <w:vAlign w:val="center"/>
            <w:hideMark/>
          </w:tcPr>
          <w:p w14:paraId="3E678A04" w14:textId="77777777" w:rsidR="003B4D49" w:rsidRDefault="003B4D49" w:rsidP="00781F9A">
            <w:pPr>
              <w:jc w:val="center"/>
              <w:rPr>
                <w:rFonts w:ascii="Arial" w:hAnsi="Arial" w:cs="Arial"/>
                <w:color w:val="000000"/>
                <w:sz w:val="20"/>
                <w:szCs w:val="20"/>
              </w:rPr>
            </w:pPr>
            <w:r>
              <w:rPr>
                <w:rStyle w:val="head1"/>
                <w:rFonts w:ascii="Arial" w:hAnsi="Arial" w:cs="Arial"/>
                <w:b/>
                <w:bCs/>
                <w:color w:val="000000"/>
                <w:sz w:val="20"/>
                <w:szCs w:val="20"/>
              </w:rPr>
              <w:t>Tier II</w:t>
            </w:r>
          </w:p>
        </w:tc>
        <w:tc>
          <w:tcPr>
            <w:tcW w:w="667" w:type="pct"/>
            <w:tcMar>
              <w:top w:w="0" w:type="dxa"/>
              <w:left w:w="45" w:type="dxa"/>
              <w:bottom w:w="0" w:type="dxa"/>
              <w:right w:w="45" w:type="dxa"/>
            </w:tcMar>
            <w:vAlign w:val="center"/>
            <w:hideMark/>
          </w:tcPr>
          <w:p w14:paraId="25268E8D" w14:textId="77777777" w:rsidR="003B4D49" w:rsidRDefault="003B4D49" w:rsidP="00781F9A">
            <w:pPr>
              <w:jc w:val="center"/>
              <w:rPr>
                <w:rFonts w:ascii="Arial" w:hAnsi="Arial" w:cs="Arial"/>
                <w:color w:val="000000"/>
                <w:sz w:val="20"/>
                <w:szCs w:val="20"/>
              </w:rPr>
            </w:pPr>
            <w:r>
              <w:rPr>
                <w:rStyle w:val="head1"/>
                <w:rFonts w:ascii="Arial" w:hAnsi="Arial" w:cs="Arial"/>
                <w:b/>
                <w:bCs/>
                <w:color w:val="000000"/>
                <w:sz w:val="20"/>
                <w:szCs w:val="20"/>
              </w:rPr>
              <w:t>Tier I</w:t>
            </w:r>
          </w:p>
        </w:tc>
      </w:tr>
      <w:tr w:rsidR="003B4D49" w14:paraId="348FFEAB" w14:textId="77777777" w:rsidTr="00781F9A">
        <w:tc>
          <w:tcPr>
            <w:tcW w:w="497" w:type="pct"/>
            <w:tcMar>
              <w:top w:w="0" w:type="dxa"/>
              <w:left w:w="45" w:type="dxa"/>
              <w:bottom w:w="0" w:type="dxa"/>
              <w:right w:w="45" w:type="dxa"/>
            </w:tcMar>
            <w:vAlign w:val="center"/>
            <w:hideMark/>
          </w:tcPr>
          <w:p w14:paraId="128BE99B"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(a)</w:t>
            </w:r>
          </w:p>
        </w:tc>
        <w:tc>
          <w:tcPr>
            <w:tcW w:w="3252" w:type="pct"/>
            <w:tcMar>
              <w:top w:w="0" w:type="dxa"/>
              <w:left w:w="45" w:type="dxa"/>
              <w:bottom w:w="0" w:type="dxa"/>
              <w:right w:w="45" w:type="dxa"/>
            </w:tcMar>
            <w:vAlign w:val="center"/>
            <w:hideMark/>
          </w:tcPr>
          <w:p w14:paraId="1C8D8BD2" w14:textId="77777777" w:rsidR="003B4D49" w:rsidRDefault="003B4D49" w:rsidP="00781F9A">
            <w:pPr>
              <w:jc w:val="both"/>
              <w:rPr>
                <w:rFonts w:ascii="Arial" w:hAnsi="Arial" w:cs="Arial"/>
                <w:color w:val="000000"/>
                <w:sz w:val="20"/>
                <w:szCs w:val="20"/>
              </w:rPr>
            </w:pPr>
            <w:r>
              <w:rPr>
                <w:rFonts w:ascii="Arial" w:hAnsi="Arial" w:cs="Arial"/>
                <w:color w:val="000000"/>
                <w:sz w:val="20"/>
                <w:szCs w:val="20"/>
              </w:rPr>
              <w:t>Direct advances to Agriculture and SME sectors</w:t>
            </w:r>
          </w:p>
        </w:tc>
        <w:tc>
          <w:tcPr>
            <w:tcW w:w="584" w:type="pct"/>
            <w:tcMar>
              <w:top w:w="0" w:type="dxa"/>
              <w:left w:w="45" w:type="dxa"/>
              <w:bottom w:w="0" w:type="dxa"/>
              <w:right w:w="45" w:type="dxa"/>
            </w:tcMar>
            <w:vAlign w:val="center"/>
            <w:hideMark/>
          </w:tcPr>
          <w:p w14:paraId="7D39A6B7"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0.25%</w:t>
            </w:r>
          </w:p>
        </w:tc>
        <w:tc>
          <w:tcPr>
            <w:tcW w:w="667" w:type="pct"/>
            <w:tcMar>
              <w:top w:w="0" w:type="dxa"/>
              <w:left w:w="45" w:type="dxa"/>
              <w:bottom w:w="0" w:type="dxa"/>
              <w:right w:w="45" w:type="dxa"/>
            </w:tcMar>
            <w:vAlign w:val="center"/>
            <w:hideMark/>
          </w:tcPr>
          <w:p w14:paraId="27BDB9DC"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0.25%</w:t>
            </w:r>
          </w:p>
        </w:tc>
      </w:tr>
      <w:tr w:rsidR="003B4D49" w14:paraId="5C0F31A3" w14:textId="77777777" w:rsidTr="00781F9A">
        <w:tc>
          <w:tcPr>
            <w:tcW w:w="497" w:type="pct"/>
            <w:tcMar>
              <w:top w:w="0" w:type="dxa"/>
              <w:left w:w="45" w:type="dxa"/>
              <w:bottom w:w="0" w:type="dxa"/>
              <w:right w:w="45" w:type="dxa"/>
            </w:tcMar>
            <w:vAlign w:val="center"/>
            <w:hideMark/>
          </w:tcPr>
          <w:p w14:paraId="1329C67B"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(b)</w:t>
            </w:r>
          </w:p>
        </w:tc>
        <w:tc>
          <w:tcPr>
            <w:tcW w:w="3252" w:type="pct"/>
            <w:tcMar>
              <w:top w:w="0" w:type="dxa"/>
              <w:left w:w="45" w:type="dxa"/>
              <w:bottom w:w="0" w:type="dxa"/>
              <w:right w:w="45" w:type="dxa"/>
            </w:tcMar>
            <w:vAlign w:val="center"/>
            <w:hideMark/>
          </w:tcPr>
          <w:p w14:paraId="44B026CA" w14:textId="77777777" w:rsidR="003B4D49" w:rsidRDefault="003B4D49" w:rsidP="00781F9A">
            <w:pPr>
              <w:jc w:val="both"/>
              <w:rPr>
                <w:rFonts w:ascii="Arial" w:hAnsi="Arial" w:cs="Arial"/>
                <w:color w:val="000000"/>
                <w:sz w:val="20"/>
                <w:szCs w:val="20"/>
              </w:rPr>
            </w:pPr>
            <w:r>
              <w:rPr>
                <w:rFonts w:ascii="Arial" w:hAnsi="Arial" w:cs="Arial"/>
                <w:color w:val="000000"/>
                <w:sz w:val="20"/>
                <w:szCs w:val="20"/>
              </w:rPr>
              <w:t>Commercial Real Estate (CRE) sector</w:t>
            </w:r>
          </w:p>
        </w:tc>
        <w:tc>
          <w:tcPr>
            <w:tcW w:w="584" w:type="pct"/>
            <w:tcMar>
              <w:top w:w="0" w:type="dxa"/>
              <w:left w:w="45" w:type="dxa"/>
              <w:bottom w:w="0" w:type="dxa"/>
              <w:right w:w="45" w:type="dxa"/>
            </w:tcMar>
            <w:vAlign w:val="center"/>
            <w:hideMark/>
          </w:tcPr>
          <w:p w14:paraId="34CCDF83"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1.00%</w:t>
            </w:r>
          </w:p>
        </w:tc>
        <w:tc>
          <w:tcPr>
            <w:tcW w:w="667" w:type="pct"/>
            <w:tcMar>
              <w:top w:w="0" w:type="dxa"/>
              <w:left w:w="45" w:type="dxa"/>
              <w:bottom w:w="0" w:type="dxa"/>
              <w:right w:w="45" w:type="dxa"/>
            </w:tcMar>
            <w:vAlign w:val="center"/>
            <w:hideMark/>
          </w:tcPr>
          <w:p w14:paraId="32A76D0C"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1.00%</w:t>
            </w:r>
          </w:p>
        </w:tc>
      </w:tr>
      <w:tr w:rsidR="003B4D49" w14:paraId="013F9D28" w14:textId="77777777" w:rsidTr="00781F9A">
        <w:trPr>
          <w:trHeight w:val="374"/>
        </w:trPr>
        <w:tc>
          <w:tcPr>
            <w:tcW w:w="497" w:type="pct"/>
            <w:tcMar>
              <w:top w:w="0" w:type="dxa"/>
              <w:left w:w="45" w:type="dxa"/>
              <w:bottom w:w="0" w:type="dxa"/>
              <w:right w:w="45" w:type="dxa"/>
            </w:tcMar>
            <w:vAlign w:val="center"/>
            <w:hideMark/>
          </w:tcPr>
          <w:p w14:paraId="4DF0109B"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(c)</w:t>
            </w:r>
          </w:p>
        </w:tc>
        <w:tc>
          <w:tcPr>
            <w:tcW w:w="3252" w:type="pct"/>
            <w:tcMar>
              <w:top w:w="0" w:type="dxa"/>
              <w:left w:w="45" w:type="dxa"/>
              <w:bottom w:w="0" w:type="dxa"/>
              <w:right w:w="45" w:type="dxa"/>
            </w:tcMar>
            <w:vAlign w:val="center"/>
            <w:hideMark/>
          </w:tcPr>
          <w:p w14:paraId="0DB9F4B6" w14:textId="77777777" w:rsidR="003B4D49" w:rsidRDefault="003B4D49" w:rsidP="00781F9A">
            <w:pPr>
              <w:jc w:val="both"/>
              <w:rPr>
                <w:rFonts w:ascii="Arial" w:hAnsi="Arial" w:cs="Arial"/>
                <w:color w:val="000000"/>
                <w:sz w:val="20"/>
                <w:szCs w:val="20"/>
              </w:rPr>
            </w:pPr>
            <w:r>
              <w:rPr>
                <w:rFonts w:ascii="Arial" w:hAnsi="Arial" w:cs="Arial"/>
                <w:color w:val="000000"/>
                <w:sz w:val="20"/>
                <w:szCs w:val="20"/>
              </w:rPr>
              <w:t>Commercial Real Estate-Residential Housing Sector (CRE-RH)</w:t>
            </w:r>
          </w:p>
        </w:tc>
        <w:tc>
          <w:tcPr>
            <w:tcW w:w="584" w:type="pct"/>
            <w:tcMar>
              <w:top w:w="0" w:type="dxa"/>
              <w:left w:w="45" w:type="dxa"/>
              <w:bottom w:w="0" w:type="dxa"/>
              <w:right w:w="45" w:type="dxa"/>
            </w:tcMar>
            <w:vAlign w:val="center"/>
            <w:hideMark/>
          </w:tcPr>
          <w:p w14:paraId="31ED9AE6"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0.75%</w:t>
            </w:r>
          </w:p>
        </w:tc>
        <w:tc>
          <w:tcPr>
            <w:tcW w:w="667" w:type="pct"/>
            <w:tcMar>
              <w:top w:w="0" w:type="dxa"/>
              <w:left w:w="45" w:type="dxa"/>
              <w:bottom w:w="0" w:type="dxa"/>
              <w:right w:w="45" w:type="dxa"/>
            </w:tcMar>
            <w:vAlign w:val="center"/>
            <w:hideMark/>
          </w:tcPr>
          <w:p w14:paraId="035C268D"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0.75%</w:t>
            </w:r>
          </w:p>
        </w:tc>
      </w:tr>
      <w:tr w:rsidR="003B4D49" w14:paraId="77A3277F" w14:textId="77777777" w:rsidTr="00781F9A">
        <w:tc>
          <w:tcPr>
            <w:tcW w:w="497" w:type="pct"/>
            <w:tcMar>
              <w:top w:w="0" w:type="dxa"/>
              <w:left w:w="45" w:type="dxa"/>
              <w:bottom w:w="0" w:type="dxa"/>
              <w:right w:w="45" w:type="dxa"/>
            </w:tcMar>
            <w:vAlign w:val="center"/>
            <w:hideMark/>
          </w:tcPr>
          <w:p w14:paraId="007CC846"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(d)</w:t>
            </w:r>
          </w:p>
        </w:tc>
        <w:tc>
          <w:tcPr>
            <w:tcW w:w="3252" w:type="pct"/>
            <w:tcMar>
              <w:top w:w="0" w:type="dxa"/>
              <w:left w:w="45" w:type="dxa"/>
              <w:bottom w:w="0" w:type="dxa"/>
              <w:right w:w="45" w:type="dxa"/>
            </w:tcMar>
            <w:vAlign w:val="center"/>
            <w:hideMark/>
          </w:tcPr>
          <w:p w14:paraId="4E1BD682" w14:textId="77777777" w:rsidR="003B4D49" w:rsidRDefault="003B4D49" w:rsidP="00781F9A">
            <w:pPr>
              <w:jc w:val="both"/>
              <w:rPr>
                <w:rFonts w:ascii="Arial" w:hAnsi="Arial" w:cs="Arial"/>
                <w:color w:val="000000"/>
                <w:sz w:val="20"/>
                <w:szCs w:val="20"/>
              </w:rPr>
            </w:pPr>
            <w:r>
              <w:rPr>
                <w:rFonts w:ascii="Arial" w:hAnsi="Arial" w:cs="Arial"/>
                <w:color w:val="000000"/>
                <w:sz w:val="20"/>
                <w:szCs w:val="20"/>
              </w:rPr>
              <w:t>All other loans and advances not included above</w:t>
            </w:r>
          </w:p>
        </w:tc>
        <w:tc>
          <w:tcPr>
            <w:tcW w:w="584" w:type="pct"/>
            <w:tcMar>
              <w:top w:w="0" w:type="dxa"/>
              <w:left w:w="45" w:type="dxa"/>
              <w:bottom w:w="0" w:type="dxa"/>
              <w:right w:w="45" w:type="dxa"/>
            </w:tcMar>
            <w:vAlign w:val="center"/>
            <w:hideMark/>
          </w:tcPr>
          <w:p w14:paraId="1D011D98"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0.40%</w:t>
            </w:r>
          </w:p>
        </w:tc>
        <w:tc>
          <w:tcPr>
            <w:tcW w:w="667" w:type="pct"/>
            <w:tcMar>
              <w:top w:w="0" w:type="dxa"/>
              <w:left w:w="45" w:type="dxa"/>
              <w:bottom w:w="0" w:type="dxa"/>
              <w:right w:w="45" w:type="dxa"/>
            </w:tcMar>
            <w:vAlign w:val="center"/>
            <w:hideMark/>
          </w:tcPr>
          <w:p w14:paraId="4ED90BB6"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0.25%</w:t>
            </w:r>
          </w:p>
        </w:tc>
      </w:tr>
    </w:tbl>
    <w:p w14:paraId="492F1FEF"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3. On a review, it has been decided to harmonise the provisioning norms for standard assets applicable to all categories of UCBs, irrespective of their Tier in the revised framework.</w:t>
      </w:r>
    </w:p>
    <w:p w14:paraId="2FE8E3C6" w14:textId="77777777" w:rsidR="003B4D49" w:rsidRDefault="003B4D49" w:rsidP="003B4D49">
      <w:pPr>
        <w:pStyle w:val="NormalWeb"/>
        <w:spacing w:after="0" w:afterAutospacing="0"/>
        <w:jc w:val="both"/>
        <w:rPr>
          <w:rFonts w:ascii="Arial" w:hAnsi="Arial" w:cs="Arial"/>
          <w:color w:val="000000"/>
          <w:sz w:val="20"/>
          <w:szCs w:val="20"/>
        </w:rPr>
      </w:pPr>
      <w:r>
        <w:rPr>
          <w:rFonts w:ascii="Arial" w:hAnsi="Arial" w:cs="Arial"/>
          <w:color w:val="000000"/>
          <w:sz w:val="20"/>
          <w:szCs w:val="20"/>
        </w:rPr>
        <w:t>4. Accordingly, the standard asset provisioning norms applicable to Tier I, Tier 2, Tier 3 and Tier 4 UCBs under the revised framework shall be as under:</w:t>
      </w:r>
    </w:p>
    <w:p w14:paraId="1476F581" w14:textId="77777777" w:rsidR="003B4D49" w:rsidRDefault="003B4D49" w:rsidP="003B4D49">
      <w:pPr>
        <w:pStyle w:val="NormalWeb"/>
        <w:numPr>
          <w:ilvl w:val="0"/>
          <w:numId w:val="2"/>
        </w:numPr>
        <w:spacing w:before="0" w:beforeAutospacing="0"/>
        <w:ind w:left="0"/>
        <w:jc w:val="both"/>
        <w:rPr>
          <w:rFonts w:ascii="Arial" w:hAnsi="Arial" w:cs="Arial"/>
          <w:color w:val="000000"/>
          <w:sz w:val="20"/>
          <w:szCs w:val="20"/>
        </w:rPr>
      </w:pPr>
      <w:r>
        <w:rPr>
          <w:rFonts w:ascii="Arial" w:hAnsi="Arial" w:cs="Arial"/>
          <w:color w:val="000000"/>
          <w:sz w:val="20"/>
          <w:szCs w:val="20"/>
        </w:rPr>
        <w:t>Direct advances to agriculture and SME sectors which are standard, shall attract a uniform provisioning requirement of 0.25 percent of the funded outstanding on a portfolio basis.</w:t>
      </w:r>
    </w:p>
    <w:p w14:paraId="32B50FC9" w14:textId="77777777" w:rsidR="003B4D49" w:rsidRDefault="003B4D49" w:rsidP="003B4D49">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Advances to commercial real estate (CRE) sector which are standard shall attract a uniform provisioning requirement of 1.00 percent of the funded outstanding on a portfolio basis.</w:t>
      </w:r>
    </w:p>
    <w:p w14:paraId="672B5527" w14:textId="77777777" w:rsidR="003B4D49" w:rsidRDefault="003B4D49" w:rsidP="003B4D49">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For advances to commercial real estate - residential housing (CRE-RH) sector, which are standard, the provisioning requirement shall be 0.75 percent</w:t>
      </w:r>
    </w:p>
    <w:p w14:paraId="046EAFC9" w14:textId="77777777" w:rsidR="003B4D49" w:rsidRDefault="003B4D49" w:rsidP="003B4D49">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For all other advances, banks shall maintain a uniform general standard asset provision of a minimum of 0.40 percent of the funded outstanding on a portfolio basis.</w:t>
      </w:r>
    </w:p>
    <w:p w14:paraId="255A53BD" w14:textId="77777777" w:rsidR="003B4D49" w:rsidRDefault="003B4D49" w:rsidP="003B4D49">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154B4976" w14:textId="77777777" w:rsidR="003B4D49" w:rsidRDefault="003B4D49" w:rsidP="003B4D49">
      <w:pPr>
        <w:pStyle w:val="NormalWeb"/>
        <w:spacing w:before="0" w:beforeAutospacing="0"/>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044DF881" w14:textId="77777777" w:rsidR="003B4D49" w:rsidRDefault="003B4D49" w:rsidP="003B4D49">
      <w:pPr>
        <w:spacing w:after="0"/>
      </w:pPr>
      <w:r>
        <w:t>More details can be referred to in the below link.</w:t>
      </w:r>
    </w:p>
    <w:p w14:paraId="3E432F07"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0" w:history="1">
        <w:r w:rsidRPr="005F425E">
          <w:rPr>
            <w:rStyle w:val="Hyperlink"/>
            <w:rFonts w:ascii="Arial" w:hAnsi="Arial" w:cs="Arial"/>
            <w:bCs/>
            <w:sz w:val="20"/>
            <w:szCs w:val="20"/>
          </w:rPr>
          <w:t>https://rbi.org.in/Scripts/NotificationUser.aspx?Id=12491&amp;Mode=0</w:t>
        </w:r>
      </w:hyperlink>
      <w:bookmarkEnd w:id="13"/>
    </w:p>
    <w:p w14:paraId="0336F0EB" w14:textId="77777777" w:rsidR="003B4D49" w:rsidRDefault="003B4D49" w:rsidP="003B4D49">
      <w:pPr>
        <w:pStyle w:val="NormalWeb"/>
        <w:rPr>
          <w:rFonts w:ascii="Arial" w:hAnsi="Arial" w:cs="Arial"/>
          <w:b/>
          <w:bCs/>
          <w:color w:val="000000"/>
          <w:sz w:val="20"/>
          <w:szCs w:val="20"/>
        </w:rPr>
      </w:pPr>
      <w:bookmarkStart w:id="15" w:name="OLE_LINK61"/>
      <w:bookmarkStart w:id="16" w:name="_Hlk141830815"/>
      <w:bookmarkEnd w:id="14"/>
      <w:r>
        <w:rPr>
          <w:rFonts w:ascii="Arial" w:hAnsi="Arial" w:cs="Arial"/>
          <w:b/>
          <w:bCs/>
          <w:color w:val="000000"/>
          <w:sz w:val="20"/>
          <w:szCs w:val="20"/>
        </w:rPr>
        <w:lastRenderedPageBreak/>
        <w:t>General Credit Card (GCC) Facility – Review</w:t>
      </w:r>
    </w:p>
    <w:bookmarkEnd w:id="15"/>
    <w:p w14:paraId="6DC529AE"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RBI/2023-24/19</w:t>
      </w:r>
      <w:r>
        <w:rPr>
          <w:rFonts w:ascii="Arial" w:hAnsi="Arial" w:cs="Arial"/>
          <w:color w:val="000000"/>
          <w:sz w:val="20"/>
          <w:szCs w:val="20"/>
        </w:rPr>
        <w:br/>
        <w:t>FIDD.MSME &amp; NFS.BC.No.06/06.02.31/2023-24</w:t>
      </w:r>
    </w:p>
    <w:p w14:paraId="3FDCEEE6"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April 25, 2023</w:t>
      </w:r>
    </w:p>
    <w:p w14:paraId="19C5D3AF"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The Chairman/Managing Director/ Chief Executive Officer</w:t>
      </w:r>
      <w:r>
        <w:rPr>
          <w:rFonts w:ascii="Arial" w:hAnsi="Arial" w:cs="Arial"/>
          <w:color w:val="000000"/>
          <w:sz w:val="20"/>
          <w:szCs w:val="20"/>
        </w:rPr>
        <w:br/>
        <w:t>Scheduled Commercial Banks (excluding Payments Banks) and</w:t>
      </w:r>
      <w:r>
        <w:rPr>
          <w:rFonts w:ascii="Arial" w:hAnsi="Arial" w:cs="Arial"/>
          <w:color w:val="000000"/>
          <w:sz w:val="20"/>
          <w:szCs w:val="20"/>
        </w:rPr>
        <w:br/>
        <w:t>Scheduled Urban Co-operative Banks</w:t>
      </w:r>
    </w:p>
    <w:p w14:paraId="5556AA27"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Dear Sir / Madam</w:t>
      </w:r>
    </w:p>
    <w:p w14:paraId="78CA823D"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General Credit Card (GCC) Facility – Review</w:t>
      </w:r>
    </w:p>
    <w:p w14:paraId="0BF369D4"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31" w:tgtFrame="_blank" w:history="1">
        <w:r>
          <w:rPr>
            <w:rStyle w:val="Hyperlink"/>
            <w:rFonts w:ascii="Arial" w:hAnsi="Arial" w:cs="Arial"/>
            <w:sz w:val="20"/>
            <w:szCs w:val="20"/>
          </w:rPr>
          <w:t>Circular RPCD.MSME &amp; NFS.BC.No.61/06.02.31/2013-14 dated December 02, 2013</w:t>
        </w:r>
      </w:hyperlink>
      <w:r>
        <w:rPr>
          <w:rFonts w:ascii="Arial" w:hAnsi="Arial" w:cs="Arial"/>
          <w:color w:val="000000"/>
          <w:sz w:val="20"/>
          <w:szCs w:val="20"/>
        </w:rPr>
        <w:t> on the Revised General Credit Card (GCC) Scheme.</w:t>
      </w:r>
    </w:p>
    <w:p w14:paraId="142FB3AC"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2. On review of the above, and in the light of the provisions contained in the </w:t>
      </w:r>
      <w:hyperlink r:id="rId32" w:tgtFrame="_blank" w:history="1">
        <w:r>
          <w:rPr>
            <w:rStyle w:val="Hyperlink"/>
            <w:rFonts w:ascii="Arial" w:hAnsi="Arial" w:cs="Arial"/>
            <w:sz w:val="20"/>
            <w:szCs w:val="20"/>
          </w:rPr>
          <w:t>Master Direction – Credit Card and Debit Card – Issuance and Conduct Directions, dated April 21, 2022</w:t>
        </w:r>
      </w:hyperlink>
      <w:r>
        <w:rPr>
          <w:rFonts w:ascii="Arial" w:hAnsi="Arial" w:cs="Arial"/>
          <w:color w:val="000000"/>
          <w:sz w:val="20"/>
          <w:szCs w:val="20"/>
        </w:rPr>
        <w:t>, revised instructions on GCC are as follows:</w:t>
      </w:r>
    </w:p>
    <w:p w14:paraId="050C962B" w14:textId="77777777" w:rsidR="003B4D49" w:rsidRDefault="003B4D49" w:rsidP="003B4D49">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 GCC Scheme shall henceforth be called “General Credit Card (GCC) Facility”.</w:t>
      </w:r>
    </w:p>
    <w:p w14:paraId="4EE9AA70" w14:textId="77777777" w:rsidR="003B4D49" w:rsidRDefault="003B4D49" w:rsidP="003B4D49">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 instructions shall apply to all banks which are eligible to issue credit cards under the above Master Direction.</w:t>
      </w:r>
    </w:p>
    <w:p w14:paraId="753C7B14" w14:textId="77777777" w:rsidR="003B4D49" w:rsidRDefault="003B4D49" w:rsidP="003B4D49">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Individuals/entities sanctioned working capital facilities for non-farm entrepreneurial activities which are eligible for classification under the priority sector guidelines, may be issued General Credit Cards.</w:t>
      </w:r>
    </w:p>
    <w:p w14:paraId="2C4A99CA" w14:textId="77777777" w:rsidR="003B4D49" w:rsidRDefault="003B4D49" w:rsidP="003B4D49">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GCC shall be issued in the form of a credit card conforming to the stipulations in the above Master Direction as updated from time to time.</w:t>
      </w:r>
    </w:p>
    <w:p w14:paraId="44FAA709" w14:textId="77777777" w:rsidR="003B4D49" w:rsidRDefault="003B4D49" w:rsidP="003B4D49">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 terms and conditions of the credit facilities extended in the form of GCC shall be as per the Board approved policies of the banks, within the overall framework laid down by Reserve Bank. Guidelines on collateral free lending for micro and small units issued from time to time shall apply.</w:t>
      </w:r>
    </w:p>
    <w:p w14:paraId="5EE6D723" w14:textId="77777777" w:rsidR="003B4D49" w:rsidRDefault="003B4D49" w:rsidP="003B4D49">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Bank shall adhere to the instructions on reporting GCC data as issued by RBI from time to time.</w:t>
      </w:r>
    </w:p>
    <w:p w14:paraId="58D855DF"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3. These instructions supersede the GCC guidelines issued in December 2013 and come into effect as on the date of this circular. Debit cards, if any, already issued under the circular of 2013 shall remain valid till their expiry/repayment of the existing credit facilities, whichever is earlier.</w:t>
      </w:r>
    </w:p>
    <w:p w14:paraId="7E632506"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3C904F4A"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073EAA52" w14:textId="77777777" w:rsidR="003B4D49" w:rsidRDefault="003B4D49" w:rsidP="003B4D49">
      <w:pPr>
        <w:spacing w:after="0"/>
      </w:pPr>
      <w:r>
        <w:t>More details can be referred to in the below link.</w:t>
      </w:r>
    </w:p>
    <w:p w14:paraId="0A18B680"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5F425E">
          <w:rPr>
            <w:rStyle w:val="Hyperlink"/>
            <w:rFonts w:ascii="Arial" w:hAnsi="Arial" w:cs="Arial"/>
            <w:bCs/>
            <w:sz w:val="20"/>
            <w:szCs w:val="20"/>
          </w:rPr>
          <w:t>https://rbi.org.in/Scripts/NotificationUser.aspx?Id=12492&amp;Mode=0</w:t>
        </w:r>
      </w:hyperlink>
    </w:p>
    <w:p w14:paraId="711E1481"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ab/>
      </w:r>
    </w:p>
    <w:p w14:paraId="2A05880F" w14:textId="77777777" w:rsidR="003B4D49" w:rsidRDefault="003B4D49" w:rsidP="003B4D49">
      <w:pPr>
        <w:pStyle w:val="NormalWeb"/>
        <w:rPr>
          <w:rFonts w:ascii="Arial" w:hAnsi="Arial" w:cs="Arial"/>
          <w:bCs/>
          <w:color w:val="000000"/>
          <w:sz w:val="20"/>
          <w:szCs w:val="20"/>
        </w:rPr>
      </w:pPr>
    </w:p>
    <w:p w14:paraId="31417035" w14:textId="77777777" w:rsidR="003B4D49" w:rsidRDefault="003B4D49" w:rsidP="003B4D49">
      <w:pPr>
        <w:pStyle w:val="NormalWeb"/>
        <w:rPr>
          <w:rFonts w:ascii="Arial" w:hAnsi="Arial" w:cs="Arial"/>
          <w:bCs/>
          <w:color w:val="000000"/>
          <w:sz w:val="20"/>
          <w:szCs w:val="20"/>
        </w:rPr>
      </w:pPr>
    </w:p>
    <w:p w14:paraId="367A630B" w14:textId="77777777" w:rsidR="003B4D49" w:rsidRDefault="003B4D49" w:rsidP="003B4D49">
      <w:pPr>
        <w:pStyle w:val="NormalWeb"/>
        <w:rPr>
          <w:rFonts w:ascii="Arial" w:hAnsi="Arial" w:cs="Arial"/>
          <w:bCs/>
          <w:color w:val="000000"/>
          <w:sz w:val="20"/>
          <w:szCs w:val="20"/>
        </w:rPr>
      </w:pPr>
    </w:p>
    <w:bookmarkEnd w:id="16"/>
    <w:p w14:paraId="718F351B" w14:textId="77777777" w:rsidR="003B4D49" w:rsidRDefault="003B4D49" w:rsidP="00B31EE1">
      <w:pPr>
        <w:rPr>
          <w:b/>
          <w:bCs/>
          <w:lang w:val="en-US"/>
        </w:rPr>
      </w:pPr>
    </w:p>
    <w:p w14:paraId="5982C55B" w14:textId="77777777" w:rsidR="003B4D49" w:rsidRDefault="003B4D49" w:rsidP="003B4D49">
      <w:pPr>
        <w:pStyle w:val="NormalWeb"/>
        <w:rPr>
          <w:rFonts w:ascii="Arial" w:hAnsi="Arial" w:cs="Arial"/>
          <w:b/>
          <w:bCs/>
          <w:color w:val="000000"/>
          <w:sz w:val="20"/>
          <w:szCs w:val="20"/>
        </w:rPr>
      </w:pPr>
      <w:bookmarkStart w:id="17" w:name="OLE_LINK62"/>
      <w:bookmarkStart w:id="18" w:name="_Hlk141830839"/>
      <w:r>
        <w:rPr>
          <w:rFonts w:ascii="Arial" w:hAnsi="Arial" w:cs="Arial"/>
          <w:b/>
          <w:bCs/>
          <w:color w:val="000000"/>
          <w:sz w:val="20"/>
          <w:szCs w:val="20"/>
        </w:rPr>
        <w:lastRenderedPageBreak/>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bookmarkEnd w:id="17"/>
    <w:p w14:paraId="08DA0CE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RBI/2023-24/20</w:t>
      </w:r>
      <w:r>
        <w:rPr>
          <w:rFonts w:ascii="Arial" w:hAnsi="Arial" w:cs="Arial"/>
          <w:color w:val="000000"/>
          <w:sz w:val="20"/>
          <w:szCs w:val="20"/>
        </w:rPr>
        <w:br/>
        <w:t>FIDD.GSSD.CO.BC.No.07/09.01.003/2023-24</w:t>
      </w:r>
    </w:p>
    <w:p w14:paraId="302EA3E9"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April 26, 2023</w:t>
      </w:r>
    </w:p>
    <w:p w14:paraId="0852E3E3"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14:paraId="6EFD1E74"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Madam/Dear Sir,</w:t>
      </w:r>
    </w:p>
    <w:p w14:paraId="7F8641AC"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14:paraId="5C92554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4" w:tgtFrame="_blank" w:history="1">
        <w:r>
          <w:rPr>
            <w:rStyle w:val="Hyperlink"/>
            <w:rFonts w:ascii="Arial" w:hAnsi="Arial" w:cs="Arial"/>
            <w:sz w:val="20"/>
            <w:szCs w:val="20"/>
          </w:rPr>
          <w:t>Master Circular FIDD.GSSD.CO.BC.No.09/09.01.003/2022-23 dated July 20, 2022</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14:paraId="74DF4183"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2. The enclosed </w:t>
      </w:r>
      <w:hyperlink r:id="rId35"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14:paraId="33E136E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6204F125"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72A40A7B" w14:textId="77777777" w:rsidR="003B4D49" w:rsidRDefault="003B4D49" w:rsidP="003B4D49">
      <w:pPr>
        <w:pStyle w:val="NormalWeb"/>
        <w:rPr>
          <w:rFonts w:ascii="Arial" w:hAnsi="Arial" w:cs="Arial"/>
          <w:color w:val="000000"/>
          <w:sz w:val="20"/>
          <w:szCs w:val="20"/>
        </w:rPr>
      </w:pPr>
    </w:p>
    <w:p w14:paraId="1A32FC0F" w14:textId="77777777" w:rsidR="003B4D49" w:rsidRDefault="003B4D49" w:rsidP="003B4D49">
      <w:pPr>
        <w:spacing w:after="0"/>
      </w:pPr>
      <w:r>
        <w:t>More details can be referred to in the below link.</w:t>
      </w:r>
    </w:p>
    <w:p w14:paraId="30FC8A2A"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6" w:history="1">
        <w:r w:rsidRPr="005F425E">
          <w:rPr>
            <w:rStyle w:val="Hyperlink"/>
            <w:rFonts w:ascii="Arial" w:hAnsi="Arial" w:cs="Arial"/>
            <w:bCs/>
            <w:sz w:val="20"/>
            <w:szCs w:val="20"/>
          </w:rPr>
          <w:t>https://rbi.org.in/Scripts/NotificationUser.aspx?Id=12493&amp;Mode=0</w:t>
        </w:r>
      </w:hyperlink>
    </w:p>
    <w:p w14:paraId="634D485E" w14:textId="77777777" w:rsidR="003B4D49" w:rsidRDefault="003B4D49" w:rsidP="003B4D49">
      <w:pPr>
        <w:pStyle w:val="NormalWeb"/>
        <w:rPr>
          <w:rFonts w:ascii="Arial" w:hAnsi="Arial" w:cs="Arial"/>
          <w:bCs/>
          <w:color w:val="000000"/>
          <w:sz w:val="20"/>
          <w:szCs w:val="20"/>
        </w:rPr>
      </w:pPr>
    </w:p>
    <w:p w14:paraId="26DE398F" w14:textId="77777777" w:rsidR="003B4D49" w:rsidRDefault="003B4D49" w:rsidP="003B4D49">
      <w:pPr>
        <w:pStyle w:val="NormalWeb"/>
        <w:rPr>
          <w:rFonts w:ascii="Arial" w:hAnsi="Arial" w:cs="Arial"/>
          <w:bCs/>
          <w:color w:val="000000"/>
          <w:sz w:val="20"/>
          <w:szCs w:val="20"/>
        </w:rPr>
      </w:pPr>
    </w:p>
    <w:p w14:paraId="3652DCA5" w14:textId="77777777" w:rsidR="003B4D49" w:rsidRDefault="003B4D49" w:rsidP="003B4D49">
      <w:pPr>
        <w:pStyle w:val="NormalWeb"/>
        <w:rPr>
          <w:rFonts w:ascii="Arial" w:hAnsi="Arial" w:cs="Arial"/>
          <w:bCs/>
          <w:color w:val="000000"/>
          <w:sz w:val="20"/>
          <w:szCs w:val="20"/>
        </w:rPr>
      </w:pPr>
    </w:p>
    <w:p w14:paraId="23E77A8A" w14:textId="77777777" w:rsidR="003B4D49" w:rsidRDefault="003B4D49" w:rsidP="003B4D49">
      <w:pPr>
        <w:pStyle w:val="NormalWeb"/>
        <w:rPr>
          <w:rFonts w:ascii="Arial" w:hAnsi="Arial" w:cs="Arial"/>
          <w:bCs/>
          <w:color w:val="000000"/>
          <w:sz w:val="20"/>
          <w:szCs w:val="20"/>
        </w:rPr>
      </w:pPr>
    </w:p>
    <w:p w14:paraId="0254B663" w14:textId="77777777" w:rsidR="003B4D49" w:rsidRDefault="003B4D49" w:rsidP="003B4D49">
      <w:pPr>
        <w:pStyle w:val="NormalWeb"/>
        <w:rPr>
          <w:rFonts w:ascii="Arial" w:hAnsi="Arial" w:cs="Arial"/>
          <w:bCs/>
          <w:color w:val="000000"/>
          <w:sz w:val="20"/>
          <w:szCs w:val="20"/>
        </w:rPr>
      </w:pPr>
    </w:p>
    <w:p w14:paraId="06E59490" w14:textId="77777777" w:rsidR="003B4D49" w:rsidRDefault="003B4D49" w:rsidP="003B4D49">
      <w:pPr>
        <w:pStyle w:val="NormalWeb"/>
        <w:rPr>
          <w:rFonts w:ascii="Arial" w:hAnsi="Arial" w:cs="Arial"/>
          <w:bCs/>
          <w:color w:val="000000"/>
          <w:sz w:val="20"/>
          <w:szCs w:val="20"/>
        </w:rPr>
      </w:pPr>
    </w:p>
    <w:p w14:paraId="30810C51" w14:textId="77777777" w:rsidR="003B4D49" w:rsidRDefault="003B4D49" w:rsidP="003B4D49">
      <w:pPr>
        <w:pStyle w:val="NormalWeb"/>
        <w:rPr>
          <w:rFonts w:ascii="Arial" w:hAnsi="Arial" w:cs="Arial"/>
          <w:bCs/>
          <w:color w:val="000000"/>
          <w:sz w:val="20"/>
          <w:szCs w:val="20"/>
        </w:rPr>
      </w:pPr>
    </w:p>
    <w:p w14:paraId="61C24C24" w14:textId="77777777" w:rsidR="003B4D49" w:rsidRDefault="003B4D49" w:rsidP="003B4D49">
      <w:pPr>
        <w:pStyle w:val="NormalWeb"/>
        <w:rPr>
          <w:rFonts w:ascii="Arial" w:hAnsi="Arial" w:cs="Arial"/>
          <w:bCs/>
          <w:color w:val="000000"/>
          <w:sz w:val="20"/>
          <w:szCs w:val="20"/>
        </w:rPr>
      </w:pPr>
    </w:p>
    <w:p w14:paraId="75EFF208" w14:textId="77777777" w:rsidR="003B4D49" w:rsidRDefault="003B4D49" w:rsidP="003B4D49">
      <w:pPr>
        <w:pStyle w:val="NormalWeb"/>
        <w:rPr>
          <w:rFonts w:ascii="Arial" w:hAnsi="Arial" w:cs="Arial"/>
          <w:bCs/>
          <w:color w:val="000000"/>
          <w:sz w:val="20"/>
          <w:szCs w:val="20"/>
        </w:rPr>
      </w:pPr>
    </w:p>
    <w:p w14:paraId="1125031D" w14:textId="77777777" w:rsidR="003B4D49" w:rsidRDefault="003B4D49" w:rsidP="003B4D49">
      <w:pPr>
        <w:pStyle w:val="NormalWeb"/>
        <w:rPr>
          <w:rFonts w:ascii="Arial" w:hAnsi="Arial" w:cs="Arial"/>
          <w:bCs/>
          <w:color w:val="000000"/>
          <w:sz w:val="20"/>
          <w:szCs w:val="20"/>
        </w:rPr>
      </w:pPr>
    </w:p>
    <w:bookmarkEnd w:id="18"/>
    <w:p w14:paraId="71F3707D" w14:textId="77777777" w:rsidR="003B4D49" w:rsidRDefault="003B4D49" w:rsidP="00B31EE1">
      <w:pPr>
        <w:rPr>
          <w:b/>
          <w:bCs/>
          <w:lang w:val="en-US"/>
        </w:rPr>
      </w:pPr>
    </w:p>
    <w:p w14:paraId="2CAA9BCF" w14:textId="77777777" w:rsidR="003B4D49" w:rsidRDefault="003B4D49" w:rsidP="003B4D49">
      <w:pPr>
        <w:pStyle w:val="NormalWeb"/>
        <w:spacing w:before="240" w:beforeAutospacing="0"/>
        <w:rPr>
          <w:rFonts w:ascii="Arial" w:hAnsi="Arial" w:cs="Arial"/>
          <w:b/>
          <w:bCs/>
          <w:color w:val="000000"/>
          <w:sz w:val="20"/>
          <w:szCs w:val="20"/>
        </w:rPr>
      </w:pPr>
      <w:bookmarkStart w:id="19" w:name="OLE_LINK69"/>
      <w:bookmarkStart w:id="20" w:name="_Hlk141825311"/>
      <w:r>
        <w:rPr>
          <w:rFonts w:ascii="Arial" w:hAnsi="Arial" w:cs="Arial"/>
          <w:b/>
          <w:bCs/>
          <w:color w:val="000000"/>
          <w:sz w:val="20"/>
          <w:szCs w:val="20"/>
        </w:rPr>
        <w:lastRenderedPageBreak/>
        <w:t>Formalisation of Informal Micro Enterprises on Udyam Assist Platform</w:t>
      </w:r>
    </w:p>
    <w:bookmarkEnd w:id="19"/>
    <w:p w14:paraId="28281371"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RBI/2023-24/27</w:t>
      </w:r>
      <w:r>
        <w:rPr>
          <w:rFonts w:ascii="Arial" w:hAnsi="Arial" w:cs="Arial"/>
          <w:color w:val="000000"/>
          <w:sz w:val="20"/>
          <w:szCs w:val="20"/>
        </w:rPr>
        <w:br/>
        <w:t>FIDD.MSME &amp; NFS.BC.No.09/06.02.31/2023-24</w:t>
      </w:r>
    </w:p>
    <w:p w14:paraId="247E9538"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May 09, 2023</w:t>
      </w:r>
    </w:p>
    <w:p w14:paraId="272F3D8B"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Commercial Banks</w:t>
      </w:r>
      <w:r>
        <w:rPr>
          <w:rFonts w:ascii="Arial" w:hAnsi="Arial" w:cs="Arial"/>
          <w:color w:val="000000"/>
          <w:sz w:val="20"/>
          <w:szCs w:val="20"/>
        </w:rPr>
        <w:br/>
        <w:t>(including Small Finance Banks, Local Area Banks and Regional Rural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All-India Financial Institutions</w:t>
      </w:r>
      <w:r>
        <w:rPr>
          <w:rFonts w:ascii="Arial" w:hAnsi="Arial" w:cs="Arial"/>
          <w:color w:val="000000"/>
          <w:sz w:val="20"/>
          <w:szCs w:val="20"/>
        </w:rPr>
        <w:br/>
        <w:t>All Non-Banking Financial Companies</w:t>
      </w:r>
    </w:p>
    <w:p w14:paraId="5A58B9D0"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Dear Sir / Madam</w:t>
      </w:r>
    </w:p>
    <w:p w14:paraId="18DD42DF"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Formalisation of Informal Micro Enterprises on Udyam Assist Platform</w:t>
      </w:r>
    </w:p>
    <w:p w14:paraId="7B5B2479"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7" w:tgtFrame="_blank" w:history="1">
        <w:r>
          <w:rPr>
            <w:rStyle w:val="Hyperlink"/>
            <w:rFonts w:ascii="Arial" w:hAnsi="Arial" w:cs="Arial"/>
            <w:sz w:val="20"/>
            <w:szCs w:val="20"/>
          </w:rPr>
          <w:t>Circular FIDD.MSME &amp; NFS.BC.No.4/06.02.31/2020-21 dated August 21, 2020</w:t>
        </w:r>
      </w:hyperlink>
      <w:r>
        <w:rPr>
          <w:rFonts w:ascii="Arial" w:hAnsi="Arial" w:cs="Arial"/>
          <w:color w:val="000000"/>
          <w:sz w:val="20"/>
          <w:szCs w:val="20"/>
        </w:rPr>
        <w:t> on ‘New Definition of Micro, Small and Medium Enterprises – clarifications’ wherein all lenders were advised to obtain ‘Udyam Registration Certificate’ for classification of entities as MSME.</w:t>
      </w:r>
    </w:p>
    <w:p w14:paraId="72933063"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2. The Ministry of Micro, Small and Medium Enterprises (‘MSME’), Government of India has launched the Udyam Assist Platform (UAP) to facilitate formalisation of Informal Micro Enterprises (IMEs) through online generation of Udyam Assist Certificate. Registration on the platform is done with the assistance of Designated Agencies which are RBI regulated entities (including scheduled commercial banks, non-banking financial companies, etc.).</w:t>
      </w:r>
    </w:p>
    <w:p w14:paraId="13B43EA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3. The Government of India, vide </w:t>
      </w:r>
      <w:hyperlink r:id="rId38" w:tgtFrame="_blank" w:history="1">
        <w:r>
          <w:rPr>
            <w:rStyle w:val="Hyperlink"/>
            <w:rFonts w:ascii="Arial" w:hAnsi="Arial" w:cs="Arial"/>
            <w:sz w:val="20"/>
            <w:szCs w:val="20"/>
          </w:rPr>
          <w:t>Gazette Notification S.O. 1296(E) dated March 20, 2023</w:t>
        </w:r>
      </w:hyperlink>
      <w:r>
        <w:rPr>
          <w:rFonts w:ascii="Arial" w:hAnsi="Arial" w:cs="Arial"/>
          <w:color w:val="000000"/>
          <w:sz w:val="20"/>
          <w:szCs w:val="20"/>
        </w:rPr>
        <w:t>, has specified that the certificate issued on the UAP to IMEs shall be treated at par with Udyam Registration Certificate for the purpose of availing Priority Sector Lending (PSL) benefits.</w:t>
      </w:r>
    </w:p>
    <w:p w14:paraId="04D53E4E"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4. Government of India has clarified to RBI that IMEs are those enterprises which are unable to get registered on the Udyam Registration Portal (URP) due to lack of mandatory required documents such as Permanent Account Number (PAN) or Goods and Services Tax Identification Number (GSTIN). Hence such enterprises are unable to avail the benefits of Government schemes or programmes. Further, it has been clarified that the turnover of enterprises exempted from filing returns under the provisions of the Central Goods and Services Tax Act, 2017 shall be the sole criterion to be defined as IMEs for the purpose of UAP. Accordingly, IMEs are those enterprises that are not covered in the Goods and Services Tax regime.</w:t>
      </w:r>
    </w:p>
    <w:p w14:paraId="03C3E672"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5. An interface has been created between the UAP and Udyam Registration Portal (URP) to enable the transition and migration of the IMEs from UAP to URP, once IMEs obtain the mandatorily required documents.</w:t>
      </w:r>
    </w:p>
    <w:p w14:paraId="0D6C480F"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6. In view of the aforementioned notification and clarification, IMEs with an Udyam Assist Certificate shall be treated as Micro Enterprises under MSME for the purposes of PSL classification.</w:t>
      </w:r>
    </w:p>
    <w:p w14:paraId="0E15141C"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59B13389" w14:textId="77777777" w:rsidR="003B4D49" w:rsidRPr="00CF0AC9" w:rsidRDefault="003B4D49" w:rsidP="003B4D49">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7E1305E7" w14:textId="77777777" w:rsidR="003B4D49" w:rsidRDefault="003B4D49" w:rsidP="003B4D49">
      <w:pPr>
        <w:spacing w:before="240" w:after="0"/>
      </w:pPr>
      <w:r>
        <w:t>More details can be referred to in the below link.</w:t>
      </w:r>
    </w:p>
    <w:p w14:paraId="3AD667C7" w14:textId="77777777" w:rsidR="003B4D49" w:rsidRDefault="003B4D49" w:rsidP="003B4D49">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9" w:history="1">
        <w:r w:rsidRPr="005F425E">
          <w:rPr>
            <w:rStyle w:val="Hyperlink"/>
            <w:rFonts w:ascii="Arial" w:hAnsi="Arial" w:cs="Arial"/>
            <w:bCs/>
            <w:sz w:val="20"/>
            <w:szCs w:val="20"/>
          </w:rPr>
          <w:t>https://rbi.org.in/Scripts/NotificationUser.aspx?Id=12500&amp;Mode=0</w:t>
        </w:r>
      </w:hyperlink>
    </w:p>
    <w:p w14:paraId="32F0722A" w14:textId="77777777" w:rsidR="003B4D49" w:rsidRDefault="003B4D49" w:rsidP="003B4D49">
      <w:pPr>
        <w:pStyle w:val="NormalWeb"/>
        <w:spacing w:before="240" w:beforeAutospacing="0"/>
        <w:rPr>
          <w:rFonts w:ascii="Arial" w:hAnsi="Arial" w:cs="Arial"/>
          <w:b/>
          <w:bCs/>
          <w:color w:val="000000"/>
          <w:sz w:val="20"/>
          <w:szCs w:val="20"/>
        </w:rPr>
      </w:pPr>
      <w:bookmarkStart w:id="21" w:name="_Hlk141827828"/>
      <w:bookmarkEnd w:id="20"/>
      <w:r>
        <w:rPr>
          <w:rFonts w:ascii="Arial" w:hAnsi="Arial" w:cs="Arial"/>
          <w:b/>
          <w:bCs/>
          <w:color w:val="000000"/>
          <w:sz w:val="20"/>
          <w:szCs w:val="20"/>
        </w:rPr>
        <w:lastRenderedPageBreak/>
        <w:t>Framework for Compromise Settlements and Technical Write-offs</w:t>
      </w:r>
    </w:p>
    <w:p w14:paraId="4D5890BF"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14:paraId="59B5C0E8"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June 08, 2023</w:t>
      </w:r>
    </w:p>
    <w:p w14:paraId="2CB67619"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14:paraId="6EDD738C"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Madam/Dear Sir,</w:t>
      </w:r>
    </w:p>
    <w:p w14:paraId="40A6B33A"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56368B2A"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40"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b/>
          <w:bCs/>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41"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42" w:anchor="AN" w:history="1">
        <w:r>
          <w:rPr>
            <w:rStyle w:val="Hyperlink"/>
            <w:rFonts w:ascii="Arial" w:hAnsi="Arial" w:cs="Arial"/>
            <w:sz w:val="20"/>
            <w:szCs w:val="20"/>
          </w:rPr>
          <w:t>Annex</w:t>
        </w:r>
      </w:hyperlink>
      <w:r>
        <w:rPr>
          <w:rFonts w:ascii="Arial" w:hAnsi="Arial" w:cs="Arial"/>
          <w:color w:val="000000"/>
          <w:sz w:val="20"/>
          <w:szCs w:val="20"/>
        </w:rPr>
        <w:t>.</w:t>
      </w:r>
    </w:p>
    <w:p w14:paraId="0585B4F6"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14:paraId="757BE7A7"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14:paraId="2D72EAE7"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2CAA75DD"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2785FE0" w14:textId="77777777" w:rsidR="003B4D49" w:rsidRDefault="003B4D49" w:rsidP="003B4D49">
      <w:pPr>
        <w:pStyle w:val="NormalWeb"/>
        <w:spacing w:before="240" w:beforeAutospacing="0"/>
        <w:rPr>
          <w:rFonts w:ascii="Arial" w:hAnsi="Arial" w:cs="Arial"/>
          <w:color w:val="000000"/>
          <w:sz w:val="20"/>
          <w:szCs w:val="20"/>
        </w:rPr>
      </w:pPr>
    </w:p>
    <w:p w14:paraId="7F02DDE0" w14:textId="77777777" w:rsidR="003B4D49" w:rsidRDefault="003B4D49" w:rsidP="003B4D49">
      <w:pPr>
        <w:spacing w:before="240" w:after="0"/>
      </w:pPr>
      <w:r>
        <w:t>More details can be referred to in the below link.</w:t>
      </w:r>
    </w:p>
    <w:p w14:paraId="2C06E1D9" w14:textId="77777777" w:rsidR="003B4D49" w:rsidRDefault="003B4D49" w:rsidP="003B4D49">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43" w:history="1">
        <w:r w:rsidRPr="005F425E">
          <w:rPr>
            <w:rStyle w:val="Hyperlink"/>
            <w:rFonts w:ascii="Arial" w:hAnsi="Arial" w:cs="Arial"/>
            <w:bCs/>
            <w:sz w:val="20"/>
            <w:szCs w:val="20"/>
          </w:rPr>
          <w:t>https://rbi.org.in/Scripts/NotificationUser.aspx?Id=12513&amp;Mode=0</w:t>
        </w:r>
      </w:hyperlink>
    </w:p>
    <w:p w14:paraId="1F1304E5" w14:textId="77777777" w:rsidR="003B4D49" w:rsidRDefault="003B4D49" w:rsidP="003B4D49">
      <w:pPr>
        <w:pStyle w:val="NormalWeb"/>
        <w:spacing w:before="240" w:beforeAutospacing="0"/>
        <w:rPr>
          <w:rFonts w:ascii="Arial" w:hAnsi="Arial" w:cs="Arial"/>
          <w:bCs/>
          <w:color w:val="000000"/>
          <w:sz w:val="20"/>
          <w:szCs w:val="20"/>
        </w:rPr>
      </w:pPr>
    </w:p>
    <w:p w14:paraId="37AF8E79" w14:textId="77777777" w:rsidR="003B4D49" w:rsidRDefault="003B4D49" w:rsidP="003B4D49">
      <w:pPr>
        <w:pStyle w:val="NormalWeb"/>
        <w:spacing w:before="240" w:beforeAutospacing="0"/>
        <w:rPr>
          <w:rFonts w:ascii="Arial" w:hAnsi="Arial" w:cs="Arial"/>
          <w:bCs/>
          <w:color w:val="000000"/>
          <w:sz w:val="20"/>
          <w:szCs w:val="20"/>
        </w:rPr>
      </w:pPr>
    </w:p>
    <w:p w14:paraId="64F98428" w14:textId="77777777" w:rsidR="003B4D49" w:rsidRDefault="003B4D49" w:rsidP="003B4D49">
      <w:pPr>
        <w:pStyle w:val="NormalWeb"/>
        <w:spacing w:before="240" w:beforeAutospacing="0"/>
        <w:rPr>
          <w:rFonts w:ascii="Arial" w:hAnsi="Arial" w:cs="Arial"/>
          <w:bCs/>
          <w:color w:val="000000"/>
          <w:sz w:val="20"/>
          <w:szCs w:val="20"/>
        </w:rPr>
      </w:pPr>
    </w:p>
    <w:p w14:paraId="534FE851" w14:textId="77777777" w:rsidR="003B4D49" w:rsidRDefault="003B4D49" w:rsidP="003B4D49">
      <w:pPr>
        <w:pStyle w:val="NormalWeb"/>
        <w:spacing w:before="240" w:beforeAutospacing="0"/>
        <w:rPr>
          <w:rFonts w:ascii="Arial" w:hAnsi="Arial" w:cs="Arial"/>
          <w:bCs/>
          <w:color w:val="000000"/>
          <w:sz w:val="20"/>
          <w:szCs w:val="20"/>
        </w:rPr>
      </w:pPr>
    </w:p>
    <w:bookmarkEnd w:id="21"/>
    <w:p w14:paraId="64E510AC" w14:textId="77777777" w:rsidR="003B4D49" w:rsidRDefault="003B4D49" w:rsidP="00B31EE1">
      <w:pPr>
        <w:rPr>
          <w:b/>
          <w:bCs/>
          <w:lang w:val="en-US"/>
        </w:rPr>
      </w:pPr>
    </w:p>
    <w:p w14:paraId="79A202CB" w14:textId="77777777" w:rsidR="003B4D49" w:rsidRDefault="003B4D49" w:rsidP="003B4D49">
      <w:pPr>
        <w:pStyle w:val="NormalWeb"/>
        <w:rPr>
          <w:rFonts w:ascii="Arial" w:hAnsi="Arial" w:cs="Arial"/>
          <w:b/>
          <w:bCs/>
          <w:color w:val="000000"/>
          <w:sz w:val="20"/>
          <w:szCs w:val="20"/>
        </w:rPr>
      </w:pPr>
      <w:bookmarkStart w:id="22" w:name="OLE_LINK83"/>
      <w:bookmarkStart w:id="23" w:name="_Hlk141826745"/>
      <w:r>
        <w:rPr>
          <w:rFonts w:ascii="Arial" w:hAnsi="Arial" w:cs="Arial"/>
          <w:b/>
          <w:bCs/>
          <w:color w:val="000000"/>
          <w:sz w:val="20"/>
          <w:szCs w:val="20"/>
        </w:rPr>
        <w:lastRenderedPageBreak/>
        <w:t>Priority Sector Lending (PSL) targets / sub-targets and contribution against shortfall in achievement of PSL targets – Primary (Urban) Co-operative Banks (UCBs) - Extension of time</w:t>
      </w:r>
    </w:p>
    <w:bookmarkEnd w:id="22"/>
    <w:p w14:paraId="57521863" w14:textId="77777777" w:rsidR="003B4D49" w:rsidRDefault="003B4D49" w:rsidP="003B4D49">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RBI/2023-24/42</w:t>
      </w:r>
      <w:r>
        <w:rPr>
          <w:rFonts w:ascii="Arial" w:hAnsi="Arial" w:cs="Arial"/>
          <w:color w:val="000000"/>
          <w:sz w:val="20"/>
          <w:szCs w:val="20"/>
        </w:rPr>
        <w:br/>
        <w:t>DOR.CRE.REC.18/07.10.002/2023-24</w:t>
      </w:r>
    </w:p>
    <w:p w14:paraId="037E6483" w14:textId="77777777" w:rsidR="003B4D49" w:rsidRDefault="003B4D49" w:rsidP="003B4D49">
      <w:pPr>
        <w:pStyle w:val="NormalWeb"/>
        <w:jc w:val="right"/>
        <w:rPr>
          <w:rFonts w:ascii="Arial" w:hAnsi="Arial" w:cs="Arial"/>
          <w:color w:val="000000"/>
          <w:sz w:val="20"/>
          <w:szCs w:val="20"/>
        </w:rPr>
      </w:pPr>
      <w:r>
        <w:rPr>
          <w:rFonts w:ascii="Arial" w:hAnsi="Arial" w:cs="Arial"/>
          <w:color w:val="000000"/>
          <w:sz w:val="20"/>
          <w:szCs w:val="20"/>
        </w:rPr>
        <w:t>June 8, 2023</w:t>
      </w:r>
    </w:p>
    <w:p w14:paraId="22E2A133"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14:paraId="6B4EF06D"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Madam / Dear Sir,</w:t>
      </w:r>
    </w:p>
    <w:p w14:paraId="4E6A69B4" w14:textId="77777777" w:rsidR="003B4D49" w:rsidRDefault="003B4D49" w:rsidP="003B4D49">
      <w:pPr>
        <w:pStyle w:val="head"/>
        <w:jc w:val="both"/>
        <w:rPr>
          <w:rFonts w:ascii="Arial" w:hAnsi="Arial" w:cs="Arial"/>
          <w:b/>
          <w:bCs/>
          <w:color w:val="000000"/>
          <w:sz w:val="20"/>
          <w:szCs w:val="20"/>
        </w:rPr>
      </w:pPr>
      <w:r>
        <w:rPr>
          <w:rFonts w:ascii="Arial" w:hAnsi="Arial" w:cs="Arial"/>
          <w:b/>
          <w:bCs/>
          <w:color w:val="000000"/>
          <w:sz w:val="20"/>
          <w:szCs w:val="20"/>
        </w:rPr>
        <w:t>Priority Sector Lending (PSL) targets / sub-targets and contribution against shortfall in achievement of PSL targets – Primary (Urban) Co-operative Banks (UCBs) - Extension of time</w:t>
      </w:r>
    </w:p>
    <w:p w14:paraId="6365EBA4"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Please refer to para 3 of the </w:t>
      </w:r>
      <w:hyperlink r:id="rId44" w:tgtFrame="_blank" w:history="1">
        <w:r>
          <w:rPr>
            <w:rStyle w:val="Hyperlink"/>
            <w:rFonts w:ascii="Arial" w:hAnsi="Arial" w:cs="Arial"/>
            <w:sz w:val="20"/>
            <w:szCs w:val="20"/>
          </w:rPr>
          <w:t>circular DOR (PCB).</w:t>
        </w:r>
        <w:proofErr w:type="spellStart"/>
        <w:r>
          <w:rPr>
            <w:rStyle w:val="Hyperlink"/>
            <w:rFonts w:ascii="Arial" w:hAnsi="Arial" w:cs="Arial"/>
            <w:sz w:val="20"/>
            <w:szCs w:val="20"/>
          </w:rPr>
          <w:t>BPD.Cir</w:t>
        </w:r>
        <w:proofErr w:type="spellEnd"/>
        <w:r>
          <w:rPr>
            <w:rStyle w:val="Hyperlink"/>
            <w:rFonts w:ascii="Arial" w:hAnsi="Arial" w:cs="Arial"/>
            <w:sz w:val="20"/>
            <w:szCs w:val="20"/>
          </w:rPr>
          <w:t xml:space="preserve"> No.10/13.05.000/2019-20</w:t>
        </w:r>
        <w:r>
          <w:rPr>
            <w:rStyle w:val="Hyperlink"/>
            <w:rFonts w:ascii="Arial" w:hAnsi="Arial" w:cs="Arial"/>
            <w:sz w:val="15"/>
            <w:szCs w:val="15"/>
            <w:vertAlign w:val="superscript"/>
          </w:rPr>
          <w:t>1</w:t>
        </w:r>
        <w:r>
          <w:rPr>
            <w:rStyle w:val="Hyperlink"/>
            <w:rFonts w:ascii="Arial" w:hAnsi="Arial" w:cs="Arial"/>
            <w:sz w:val="20"/>
            <w:szCs w:val="20"/>
          </w:rPr>
          <w:t> dated March 13, 2020</w:t>
        </w:r>
      </w:hyperlink>
      <w:r>
        <w:rPr>
          <w:rFonts w:ascii="Arial" w:hAnsi="Arial" w:cs="Arial"/>
          <w:color w:val="000000"/>
          <w:sz w:val="20"/>
          <w:szCs w:val="20"/>
        </w:rPr>
        <w:t>, and para 5 of </w:t>
      </w:r>
      <w:hyperlink r:id="rId45"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xml:space="preserve">, in terms of which, a glide path for achieving overall PSL target and sub-target for </w:t>
      </w:r>
      <w:bookmarkStart w:id="24" w:name="_GoBack"/>
      <w:bookmarkEnd w:id="24"/>
      <w:r>
        <w:rPr>
          <w:rFonts w:ascii="Arial" w:hAnsi="Arial" w:cs="Arial"/>
          <w:color w:val="000000"/>
          <w:sz w:val="20"/>
          <w:szCs w:val="20"/>
        </w:rPr>
        <w:t>advances to weaker sections was prescribed till March 31, 2024.</w:t>
      </w:r>
    </w:p>
    <w:p w14:paraId="580DD6D5"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46" w:anchor="ANNN" w:history="1">
        <w:r>
          <w:rPr>
            <w:rStyle w:val="Hyperlink"/>
            <w:rFonts w:ascii="Arial" w:hAnsi="Arial" w:cs="Arial"/>
            <w:sz w:val="20"/>
            <w:szCs w:val="20"/>
          </w:rPr>
          <w:t>para no. 4 Annexed</w:t>
        </w:r>
      </w:hyperlink>
      <w:r>
        <w:rPr>
          <w:rFonts w:ascii="Arial" w:hAnsi="Arial" w:cs="Arial"/>
          <w:color w:val="000000"/>
          <w:sz w:val="20"/>
          <w:szCs w:val="20"/>
        </w:rPr>
        <w:t>), in order to address implementational challenges faced by the UCBs and to make the transition non-disruptive, it has been decided to extend the glide path for these PSL targets by an additional period of two years as under: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2126"/>
        <w:gridCol w:w="1985"/>
        <w:gridCol w:w="2694"/>
      </w:tblGrid>
      <w:tr w:rsidR="003B4D49" w14:paraId="6F811C0E" w14:textId="77777777" w:rsidTr="00781F9A">
        <w:tc>
          <w:tcPr>
            <w:tcW w:w="1188" w:type="pct"/>
            <w:tcMar>
              <w:top w:w="0" w:type="dxa"/>
              <w:left w:w="45" w:type="dxa"/>
              <w:bottom w:w="0" w:type="dxa"/>
              <w:right w:w="45" w:type="dxa"/>
            </w:tcMar>
            <w:hideMark/>
          </w:tcPr>
          <w:p w14:paraId="25F78492" w14:textId="77777777" w:rsidR="003B4D49" w:rsidRDefault="003B4D49" w:rsidP="00781F9A">
            <w:pPr>
              <w:jc w:val="center"/>
              <w:rPr>
                <w:rFonts w:ascii="Arial" w:hAnsi="Arial" w:cs="Arial"/>
                <w:b/>
                <w:bCs/>
                <w:color w:val="000000"/>
                <w:sz w:val="20"/>
                <w:szCs w:val="20"/>
              </w:rPr>
            </w:pPr>
            <w:r>
              <w:rPr>
                <w:rFonts w:ascii="Arial" w:hAnsi="Arial" w:cs="Arial"/>
                <w:b/>
                <w:bCs/>
                <w:color w:val="000000"/>
                <w:sz w:val="20"/>
                <w:szCs w:val="20"/>
              </w:rPr>
              <w:t>Financial Year ended</w:t>
            </w:r>
          </w:p>
        </w:tc>
        <w:tc>
          <w:tcPr>
            <w:tcW w:w="1191" w:type="pct"/>
            <w:tcMar>
              <w:top w:w="0" w:type="dxa"/>
              <w:left w:w="45" w:type="dxa"/>
              <w:bottom w:w="0" w:type="dxa"/>
              <w:right w:w="45" w:type="dxa"/>
            </w:tcMar>
            <w:hideMark/>
          </w:tcPr>
          <w:p w14:paraId="23A58AB1" w14:textId="77777777" w:rsidR="003B4D49" w:rsidRDefault="003B4D49" w:rsidP="00781F9A">
            <w:pPr>
              <w:jc w:val="center"/>
              <w:rPr>
                <w:rFonts w:ascii="Arial" w:hAnsi="Arial" w:cs="Arial"/>
                <w:b/>
                <w:bCs/>
                <w:color w:val="000000"/>
                <w:sz w:val="20"/>
                <w:szCs w:val="20"/>
              </w:rPr>
            </w:pPr>
            <w:r>
              <w:rPr>
                <w:rFonts w:ascii="Arial" w:hAnsi="Arial" w:cs="Arial"/>
                <w:b/>
                <w:bCs/>
                <w:color w:val="000000"/>
                <w:sz w:val="20"/>
                <w:szCs w:val="20"/>
              </w:rPr>
              <w:t>March 31, 2024</w:t>
            </w:r>
          </w:p>
        </w:tc>
        <w:tc>
          <w:tcPr>
            <w:tcW w:w="1112" w:type="pct"/>
            <w:tcMar>
              <w:top w:w="0" w:type="dxa"/>
              <w:left w:w="45" w:type="dxa"/>
              <w:bottom w:w="0" w:type="dxa"/>
              <w:right w:w="45" w:type="dxa"/>
            </w:tcMar>
            <w:hideMark/>
          </w:tcPr>
          <w:p w14:paraId="20C65DE0" w14:textId="77777777" w:rsidR="003B4D49" w:rsidRDefault="003B4D49" w:rsidP="00781F9A">
            <w:pPr>
              <w:jc w:val="center"/>
              <w:rPr>
                <w:rFonts w:ascii="Arial" w:hAnsi="Arial" w:cs="Arial"/>
                <w:b/>
                <w:bCs/>
                <w:color w:val="000000"/>
                <w:sz w:val="20"/>
                <w:szCs w:val="20"/>
              </w:rPr>
            </w:pPr>
            <w:r>
              <w:rPr>
                <w:rFonts w:ascii="Arial" w:hAnsi="Arial" w:cs="Arial"/>
                <w:b/>
                <w:bCs/>
                <w:color w:val="000000"/>
                <w:sz w:val="20"/>
                <w:szCs w:val="20"/>
              </w:rPr>
              <w:t>March 31, 2025</w:t>
            </w:r>
          </w:p>
        </w:tc>
        <w:tc>
          <w:tcPr>
            <w:tcW w:w="1509" w:type="pct"/>
            <w:tcMar>
              <w:top w:w="0" w:type="dxa"/>
              <w:left w:w="45" w:type="dxa"/>
              <w:bottom w:w="0" w:type="dxa"/>
              <w:right w:w="45" w:type="dxa"/>
            </w:tcMar>
            <w:hideMark/>
          </w:tcPr>
          <w:p w14:paraId="750C2F57" w14:textId="77777777" w:rsidR="003B4D49" w:rsidRDefault="003B4D49" w:rsidP="00781F9A">
            <w:pPr>
              <w:jc w:val="center"/>
              <w:rPr>
                <w:rFonts w:ascii="Arial" w:hAnsi="Arial" w:cs="Arial"/>
                <w:b/>
                <w:bCs/>
                <w:color w:val="000000"/>
                <w:sz w:val="20"/>
                <w:szCs w:val="20"/>
              </w:rPr>
            </w:pPr>
            <w:r>
              <w:rPr>
                <w:rFonts w:ascii="Arial" w:hAnsi="Arial" w:cs="Arial"/>
                <w:b/>
                <w:bCs/>
                <w:color w:val="000000"/>
                <w:sz w:val="20"/>
                <w:szCs w:val="20"/>
              </w:rPr>
              <w:t>March 31, 2026</w:t>
            </w:r>
          </w:p>
        </w:tc>
      </w:tr>
      <w:tr w:rsidR="003B4D49" w14:paraId="42AC2F26" w14:textId="77777777" w:rsidTr="00781F9A">
        <w:tc>
          <w:tcPr>
            <w:tcW w:w="1188" w:type="pct"/>
            <w:tcMar>
              <w:top w:w="0" w:type="dxa"/>
              <w:left w:w="45" w:type="dxa"/>
              <w:bottom w:w="0" w:type="dxa"/>
              <w:right w:w="45" w:type="dxa"/>
            </w:tcMar>
            <w:hideMark/>
          </w:tcPr>
          <w:p w14:paraId="471E443D" w14:textId="77777777" w:rsidR="003B4D49" w:rsidRDefault="003B4D49" w:rsidP="00781F9A">
            <w:pPr>
              <w:jc w:val="both"/>
              <w:rPr>
                <w:rFonts w:ascii="Arial" w:hAnsi="Arial" w:cs="Arial"/>
                <w:color w:val="000000"/>
                <w:sz w:val="20"/>
                <w:szCs w:val="20"/>
              </w:rPr>
            </w:pPr>
            <w:r>
              <w:rPr>
                <w:rFonts w:ascii="Arial" w:hAnsi="Arial" w:cs="Arial"/>
                <w:color w:val="000000"/>
                <w:sz w:val="20"/>
                <w:szCs w:val="20"/>
              </w:rPr>
              <w:t>Overall PSL Target</w:t>
            </w:r>
            <w:r>
              <w:rPr>
                <w:rFonts w:ascii="Arial" w:hAnsi="Arial" w:cs="Arial"/>
                <w:color w:val="000000"/>
                <w:sz w:val="15"/>
                <w:szCs w:val="15"/>
                <w:vertAlign w:val="superscript"/>
              </w:rPr>
              <w:t>@</w:t>
            </w:r>
          </w:p>
        </w:tc>
        <w:tc>
          <w:tcPr>
            <w:tcW w:w="1191" w:type="pct"/>
            <w:tcMar>
              <w:top w:w="0" w:type="dxa"/>
              <w:left w:w="45" w:type="dxa"/>
              <w:bottom w:w="0" w:type="dxa"/>
              <w:right w:w="45" w:type="dxa"/>
            </w:tcMar>
            <w:hideMark/>
          </w:tcPr>
          <w:p w14:paraId="6F2CBB70"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60% of ANBC</w:t>
            </w:r>
            <w:hyperlink r:id="rId47" w:anchor="F2" w:history="1">
              <w:r>
                <w:rPr>
                  <w:rStyle w:val="Hyperlink"/>
                  <w:rFonts w:ascii="Arial" w:hAnsi="Arial" w:cs="Arial"/>
                  <w:sz w:val="15"/>
                  <w:szCs w:val="15"/>
                  <w:vertAlign w:val="superscript"/>
                </w:rPr>
                <w:t>2</w:t>
              </w:r>
            </w:hyperlink>
            <w:r>
              <w:rPr>
                <w:rFonts w:ascii="Arial" w:hAnsi="Arial" w:cs="Arial"/>
                <w:color w:val="000000"/>
                <w:sz w:val="20"/>
                <w:szCs w:val="20"/>
              </w:rPr>
              <w:t> or</w:t>
            </w:r>
            <w:r>
              <w:rPr>
                <w:rFonts w:ascii="Arial" w:hAnsi="Arial" w:cs="Arial"/>
                <w:color w:val="000000"/>
                <w:sz w:val="20"/>
                <w:szCs w:val="20"/>
              </w:rPr>
              <w:br/>
              <w:t>CEOBSE</w:t>
            </w:r>
            <w:hyperlink r:id="rId48" w:anchor="F3" w:history="1">
              <w:r>
                <w:rPr>
                  <w:rStyle w:val="Hyperlink"/>
                  <w:rFonts w:ascii="Arial" w:hAnsi="Arial" w:cs="Arial"/>
                  <w:sz w:val="15"/>
                  <w:szCs w:val="15"/>
                  <w:vertAlign w:val="superscript"/>
                </w:rPr>
                <w:t>3</w:t>
              </w:r>
            </w:hyperlink>
            <w:r>
              <w:rPr>
                <w:rFonts w:ascii="Arial" w:hAnsi="Arial" w:cs="Arial"/>
                <w:color w:val="000000"/>
                <w:sz w:val="20"/>
                <w:szCs w:val="20"/>
              </w:rPr>
              <w:t>,</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221FAB61"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65%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33FE6D19"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75% of ANBC or</w:t>
            </w:r>
            <w:r>
              <w:rPr>
                <w:rFonts w:ascii="Arial" w:hAnsi="Arial" w:cs="Arial"/>
                <w:color w:val="000000"/>
                <w:sz w:val="20"/>
                <w:szCs w:val="20"/>
              </w:rPr>
              <w:br/>
              <w:t>CEOBSE,</w:t>
            </w:r>
            <w:r>
              <w:rPr>
                <w:rFonts w:ascii="Arial" w:hAnsi="Arial" w:cs="Arial"/>
                <w:color w:val="000000"/>
                <w:sz w:val="20"/>
                <w:szCs w:val="20"/>
              </w:rPr>
              <w:br/>
              <w:t>whichever is higher</w:t>
            </w:r>
          </w:p>
        </w:tc>
      </w:tr>
      <w:tr w:rsidR="003B4D49" w14:paraId="6F0FD0F3" w14:textId="77777777" w:rsidTr="00781F9A">
        <w:tc>
          <w:tcPr>
            <w:tcW w:w="1188" w:type="pct"/>
            <w:tcMar>
              <w:top w:w="0" w:type="dxa"/>
              <w:left w:w="45" w:type="dxa"/>
              <w:bottom w:w="0" w:type="dxa"/>
              <w:right w:w="45" w:type="dxa"/>
            </w:tcMar>
            <w:hideMark/>
          </w:tcPr>
          <w:p w14:paraId="6299A131" w14:textId="77777777" w:rsidR="003B4D49" w:rsidRDefault="003B4D49" w:rsidP="00781F9A">
            <w:pPr>
              <w:rPr>
                <w:rFonts w:ascii="Arial" w:hAnsi="Arial" w:cs="Arial"/>
                <w:color w:val="000000"/>
                <w:sz w:val="20"/>
                <w:szCs w:val="20"/>
              </w:rPr>
            </w:pPr>
            <w:r>
              <w:rPr>
                <w:rFonts w:ascii="Arial" w:hAnsi="Arial" w:cs="Arial"/>
                <w:color w:val="000000"/>
                <w:sz w:val="20"/>
                <w:szCs w:val="20"/>
              </w:rPr>
              <w:t>Sub-target for advances to weaker sections</w:t>
            </w:r>
            <w:r>
              <w:rPr>
                <w:rFonts w:ascii="Arial" w:hAnsi="Arial" w:cs="Arial"/>
                <w:color w:val="000000"/>
                <w:sz w:val="15"/>
                <w:szCs w:val="15"/>
                <w:vertAlign w:val="superscript"/>
              </w:rPr>
              <w:t>#</w:t>
            </w:r>
            <w:r>
              <w:rPr>
                <w:rFonts w:ascii="Arial" w:hAnsi="Arial" w:cs="Arial"/>
                <w:color w:val="000000"/>
                <w:sz w:val="20"/>
                <w:szCs w:val="20"/>
              </w:rPr>
              <w:t>,</w:t>
            </w:r>
            <w:hyperlink r:id="rId49" w:anchor="F4" w:history="1">
              <w:r>
                <w:rPr>
                  <w:rStyle w:val="Hyperlink"/>
                  <w:rFonts w:ascii="Arial" w:hAnsi="Arial" w:cs="Arial"/>
                  <w:sz w:val="15"/>
                  <w:szCs w:val="15"/>
                  <w:vertAlign w:val="superscript"/>
                </w:rPr>
                <w:t>4</w:t>
              </w:r>
            </w:hyperlink>
          </w:p>
        </w:tc>
        <w:tc>
          <w:tcPr>
            <w:tcW w:w="1191" w:type="pct"/>
            <w:tcMar>
              <w:top w:w="0" w:type="dxa"/>
              <w:left w:w="45" w:type="dxa"/>
              <w:bottom w:w="0" w:type="dxa"/>
              <w:right w:w="45" w:type="dxa"/>
            </w:tcMar>
            <w:hideMark/>
          </w:tcPr>
          <w:p w14:paraId="3AC9AD38"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11.50%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6606FDB5"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11.75% of ANBC or 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353FE3B8" w14:textId="77777777" w:rsidR="003B4D49" w:rsidRDefault="003B4D49" w:rsidP="00781F9A">
            <w:pPr>
              <w:jc w:val="center"/>
              <w:rPr>
                <w:rFonts w:ascii="Arial" w:hAnsi="Arial" w:cs="Arial"/>
                <w:color w:val="000000"/>
                <w:sz w:val="20"/>
                <w:szCs w:val="20"/>
              </w:rPr>
            </w:pPr>
            <w:r>
              <w:rPr>
                <w:rFonts w:ascii="Arial" w:hAnsi="Arial" w:cs="Arial"/>
                <w:color w:val="000000"/>
                <w:sz w:val="20"/>
                <w:szCs w:val="20"/>
              </w:rPr>
              <w:t>12.00% of ANBC</w:t>
            </w:r>
            <w:r>
              <w:rPr>
                <w:rFonts w:ascii="Arial" w:hAnsi="Arial" w:cs="Arial"/>
                <w:color w:val="000000"/>
                <w:sz w:val="20"/>
                <w:szCs w:val="20"/>
              </w:rPr>
              <w:br/>
              <w:t>or CEOBSE,</w:t>
            </w:r>
            <w:r>
              <w:rPr>
                <w:rFonts w:ascii="Arial" w:hAnsi="Arial" w:cs="Arial"/>
                <w:color w:val="000000"/>
                <w:sz w:val="20"/>
                <w:szCs w:val="20"/>
              </w:rPr>
              <w:br/>
              <w:t>whichever is higher</w:t>
            </w:r>
          </w:p>
        </w:tc>
      </w:tr>
      <w:tr w:rsidR="003B4D49" w14:paraId="5E341B9C" w14:textId="77777777" w:rsidTr="00781F9A">
        <w:tc>
          <w:tcPr>
            <w:tcW w:w="5000" w:type="pct"/>
            <w:gridSpan w:val="4"/>
            <w:tcMar>
              <w:top w:w="0" w:type="dxa"/>
              <w:left w:w="45" w:type="dxa"/>
              <w:bottom w:w="0" w:type="dxa"/>
              <w:right w:w="45" w:type="dxa"/>
            </w:tcMar>
            <w:hideMark/>
          </w:tcPr>
          <w:p w14:paraId="4CCFE294" w14:textId="77777777" w:rsidR="003B4D49" w:rsidRDefault="003B4D49" w:rsidP="00781F9A">
            <w:pPr>
              <w:jc w:val="both"/>
              <w:rPr>
                <w:rFonts w:ascii="Arial" w:hAnsi="Arial" w:cs="Arial"/>
                <w:color w:val="000000"/>
                <w:sz w:val="20"/>
                <w:szCs w:val="20"/>
              </w:rPr>
            </w:pPr>
            <w:r>
              <w:rPr>
                <w:rFonts w:ascii="Arial" w:hAnsi="Arial" w:cs="Arial"/>
                <w:color w:val="000000"/>
                <w:sz w:val="20"/>
                <w:szCs w:val="20"/>
              </w:rPr>
              <w:t>@ The targets for March 31, 2023 (at 60 %) shall continue till March 31, 2024.</w:t>
            </w:r>
            <w:r>
              <w:rPr>
                <w:rFonts w:ascii="Arial" w:hAnsi="Arial" w:cs="Arial"/>
                <w:color w:val="000000"/>
                <w:sz w:val="20"/>
                <w:szCs w:val="20"/>
              </w:rPr>
              <w:br/>
              <w:t># The sub-target set for March 31, 2023 (at 11.50%) shall continue till March 31, 2024.</w:t>
            </w:r>
          </w:p>
        </w:tc>
      </w:tr>
    </w:tbl>
    <w:p w14:paraId="10141354"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3. In terms of para 28 of </w:t>
      </w:r>
      <w:hyperlink r:id="rId50"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and para 2 of the </w:t>
      </w:r>
      <w:hyperlink r:id="rId51" w:tgtFrame="_blank" w:history="1">
        <w:r>
          <w:rPr>
            <w:rStyle w:val="Hyperlink"/>
            <w:rFonts w:ascii="Arial" w:hAnsi="Arial" w:cs="Arial"/>
            <w:sz w:val="20"/>
            <w:szCs w:val="20"/>
          </w:rPr>
          <w:t>circular DOR (PCB).BPD.Cir.No.12/09.09.002/2019-20</w:t>
        </w:r>
        <w:r>
          <w:rPr>
            <w:rStyle w:val="Hyperlink"/>
            <w:rFonts w:ascii="Arial" w:hAnsi="Arial" w:cs="Arial"/>
            <w:sz w:val="15"/>
            <w:szCs w:val="15"/>
            <w:vertAlign w:val="superscript"/>
          </w:rPr>
          <w:t>5</w:t>
        </w:r>
        <w:r>
          <w:rPr>
            <w:rStyle w:val="Hyperlink"/>
            <w:rFonts w:ascii="Arial" w:hAnsi="Arial" w:cs="Arial"/>
            <w:sz w:val="20"/>
            <w:szCs w:val="20"/>
          </w:rPr>
          <w:t> dated April 24, 2020</w:t>
        </w:r>
      </w:hyperlink>
      <w:r>
        <w:rPr>
          <w:rFonts w:ascii="Arial" w:hAnsi="Arial" w:cs="Arial"/>
          <w:color w:val="000000"/>
          <w:sz w:val="20"/>
          <w:szCs w:val="20"/>
        </w:rPr>
        <w:t>, all UCBs (excluding those under all-inclusive directions), were advised to contribute to Rural Infrastructure Development Fund (RIDF) established with NABARD and other Funds with NABARD / NHB / SIDBI / MUDRA Ltd., against their PSL shortfall vis-à-vis the prescribed target/ sub-targets, with effect from March 31, 2021.</w:t>
      </w:r>
    </w:p>
    <w:p w14:paraId="6D364751" w14:textId="77777777" w:rsidR="003B4D49" w:rsidRDefault="003B4D49" w:rsidP="003B4D49">
      <w:pPr>
        <w:pStyle w:val="NormalWeb"/>
        <w:jc w:val="both"/>
        <w:rPr>
          <w:rFonts w:ascii="Arial" w:hAnsi="Arial" w:cs="Arial"/>
          <w:color w:val="000000"/>
          <w:sz w:val="20"/>
          <w:szCs w:val="20"/>
        </w:rPr>
      </w:pPr>
      <w:r>
        <w:rPr>
          <w:rFonts w:ascii="Arial" w:hAnsi="Arial" w:cs="Arial"/>
          <w:color w:val="000000"/>
          <w:sz w:val="20"/>
          <w:szCs w:val="20"/>
        </w:rPr>
        <w:t>Yours faithfully,</w:t>
      </w:r>
    </w:p>
    <w:p w14:paraId="565AEB68" w14:textId="77777777" w:rsidR="003B4D49" w:rsidRDefault="003B4D49" w:rsidP="003B4D49">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905CDB8" w14:textId="77777777" w:rsidR="003B4D49" w:rsidRDefault="003B4D49" w:rsidP="003B4D49">
      <w:pPr>
        <w:spacing w:before="240" w:after="0"/>
      </w:pPr>
      <w:r>
        <w:t>More details can be referred to in the below link.</w:t>
      </w:r>
    </w:p>
    <w:p w14:paraId="6EB1FCFC" w14:textId="77777777" w:rsidR="003B4D49" w:rsidRDefault="003B4D49" w:rsidP="003B4D4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2" w:history="1">
        <w:r w:rsidRPr="005F425E">
          <w:rPr>
            <w:rStyle w:val="Hyperlink"/>
            <w:rFonts w:ascii="Arial" w:hAnsi="Arial" w:cs="Arial"/>
            <w:bCs/>
            <w:sz w:val="20"/>
            <w:szCs w:val="20"/>
          </w:rPr>
          <w:t>https://rbi.org.in/Scripts/NotificationUser.aspx?Id=12515&amp;Mode=0</w:t>
        </w:r>
      </w:hyperlink>
    </w:p>
    <w:bookmarkEnd w:id="23"/>
    <w:p w14:paraId="2CEC9139" w14:textId="77777777" w:rsidR="003B4D49" w:rsidRDefault="003B4D49" w:rsidP="00B31EE1">
      <w:pPr>
        <w:rPr>
          <w:b/>
          <w:bCs/>
          <w:lang w:val="en-US"/>
        </w:rPr>
      </w:pPr>
    </w:p>
    <w:sectPr w:rsidR="003B4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A05"/>
    <w:multiLevelType w:val="multilevel"/>
    <w:tmpl w:val="05A63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37E6017"/>
    <w:multiLevelType w:val="multilevel"/>
    <w:tmpl w:val="2F7CF5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3823AE6"/>
    <w:multiLevelType w:val="hybridMultilevel"/>
    <w:tmpl w:val="A6ACA968"/>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A6"/>
    <w:rsid w:val="001C3B05"/>
    <w:rsid w:val="003B4D49"/>
    <w:rsid w:val="003D55A6"/>
    <w:rsid w:val="00B31EE1"/>
    <w:rsid w:val="00CA0BE2"/>
    <w:rsid w:val="00DA1877"/>
    <w:rsid w:val="00F20D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0293"/>
  <w15:chartTrackingRefBased/>
  <w15:docId w15:val="{B5EE4541-22C7-490F-BDC7-031A1D5B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EE1"/>
    <w:pPr>
      <w:ind w:left="720"/>
      <w:contextualSpacing/>
    </w:pPr>
  </w:style>
  <w:style w:type="paragraph" w:styleId="NormalWeb">
    <w:name w:val="Normal (Web)"/>
    <w:basedOn w:val="Normal"/>
    <w:uiPriority w:val="99"/>
    <w:unhideWhenUsed/>
    <w:rsid w:val="003B4D4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3B4D4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B4D49"/>
    <w:rPr>
      <w:color w:val="0000FF"/>
      <w:u w:val="single"/>
    </w:rPr>
  </w:style>
  <w:style w:type="character" w:customStyle="1" w:styleId="head1">
    <w:name w:val="head1"/>
    <w:basedOn w:val="DefaultParagraphFont"/>
    <w:rsid w:val="003B4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NotificationUser.aspx?Id=12468&amp;Mode=0" TargetMode="External"/><Relationship Id="rId18" Type="http://schemas.openxmlformats.org/officeDocument/2006/relationships/hyperlink" Target="https://rbi.org.in/Scripts/NotificationUser.aspx?Id=12471&amp;Mode=0" TargetMode="External"/><Relationship Id="rId26" Type="http://schemas.openxmlformats.org/officeDocument/2006/relationships/hyperlink" Target="https://rbi.org.in/Scripts/NotificationUser.aspx?Id=12490&amp;Mode=0" TargetMode="External"/><Relationship Id="rId39" Type="http://schemas.openxmlformats.org/officeDocument/2006/relationships/hyperlink" Target="https://rbi.org.in/Scripts/NotificationUser.aspx?Id=12500&amp;Mode=0" TargetMode="External"/><Relationship Id="rId3" Type="http://schemas.openxmlformats.org/officeDocument/2006/relationships/settings" Target="settings.xml"/><Relationship Id="rId21" Type="http://schemas.openxmlformats.org/officeDocument/2006/relationships/hyperlink" Target="https://rbi.org.in/Scripts/NotificationUser.aspx?Id=12476&amp;Mode=0" TargetMode="External"/><Relationship Id="rId34" Type="http://schemas.openxmlformats.org/officeDocument/2006/relationships/hyperlink" Target="https://www.rbi.org.in/Scripts/BS_ViewMasCirculardetails.aspx?id=12360" TargetMode="External"/><Relationship Id="rId42" Type="http://schemas.openxmlformats.org/officeDocument/2006/relationships/hyperlink" Target="https://rbi.org.in/Scripts/NotificationUser.aspx?Id=12513&amp;Mode=0" TargetMode="External"/><Relationship Id="rId47" Type="http://schemas.openxmlformats.org/officeDocument/2006/relationships/hyperlink" Target="https://rbi.org.in/Scripts/NotificationUser.aspx?Id=12515&amp;Mode=0" TargetMode="External"/><Relationship Id="rId50" Type="http://schemas.openxmlformats.org/officeDocument/2006/relationships/hyperlink" Target="https://rbi.org.in/Scripts/BS_ViewMasDirections.aspx?id=11959" TargetMode="External"/><Relationship Id="rId7" Type="http://schemas.openxmlformats.org/officeDocument/2006/relationships/hyperlink" Target="https://rbi.org.in/Scripts/NotificationUser.aspx?Id=12457&amp;Mode=0" TargetMode="External"/><Relationship Id="rId12" Type="http://schemas.openxmlformats.org/officeDocument/2006/relationships/hyperlink" Target="https://rbi.org.in/Scripts/NotificationUser.aspx?Id=12468&amp;Mode=0" TargetMode="External"/><Relationship Id="rId17" Type="http://schemas.openxmlformats.org/officeDocument/2006/relationships/hyperlink" Target="https://www.rbi.org.in/Scripts/BS_ViewMasCirculardetails.aspx?id=12276" TargetMode="External"/><Relationship Id="rId25" Type="http://schemas.openxmlformats.org/officeDocument/2006/relationships/hyperlink" Target="https://rbi.org.in/Scripts/NotificationUser.aspx?Id=12490&amp;Mode=0" TargetMode="External"/><Relationship Id="rId33" Type="http://schemas.openxmlformats.org/officeDocument/2006/relationships/hyperlink" Target="https://rbi.org.in/Scripts/NotificationUser.aspx?Id=12492&amp;Mode=0" TargetMode="External"/><Relationship Id="rId38" Type="http://schemas.openxmlformats.org/officeDocument/2006/relationships/hyperlink" Target="https://rbidocs.rbi.org.in/rdocs/content/pdfs/IndianGazzate20032023.pdf" TargetMode="External"/><Relationship Id="rId46" Type="http://schemas.openxmlformats.org/officeDocument/2006/relationships/hyperlink" Target="https://rbi.org.in/Scripts/NotificationUser.aspx?Id=12515&amp;Mode=0" TargetMode="External"/><Relationship Id="rId2" Type="http://schemas.openxmlformats.org/officeDocument/2006/relationships/styles" Target="styles.xml"/><Relationship Id="rId16" Type="http://schemas.openxmlformats.org/officeDocument/2006/relationships/hyperlink" Target="https://rbi.org.in/Scripts/NotificationUser.aspx?Id=12470&amp;Mode=0" TargetMode="External"/><Relationship Id="rId20" Type="http://schemas.openxmlformats.org/officeDocument/2006/relationships/hyperlink" Target="https://www.rbi.org.in/Scripts/BS_ViewMasCirculardetails.aspx?id=12280" TargetMode="External"/><Relationship Id="rId29" Type="http://schemas.openxmlformats.org/officeDocument/2006/relationships/hyperlink" Target="https://www.rbi.org.in/scripts/NotificationUser.aspx?Id=4970&amp;Mode=0" TargetMode="External"/><Relationship Id="rId41" Type="http://schemas.openxmlformats.org/officeDocument/2006/relationships/hyperlink" Target="https://www.rbi.org.in/Scripts/BS_PressReleaseDisplay.aspx?prid=5581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bi.org.in/Scripts/BS_ViewMasDirections.aspx?id=12158" TargetMode="External"/><Relationship Id="rId11" Type="http://schemas.openxmlformats.org/officeDocument/2006/relationships/hyperlink" Target="https://rbi.org.in/Scripts/NotificationUser.aspx?Id=12468&amp;Mode=0" TargetMode="External"/><Relationship Id="rId24" Type="http://schemas.openxmlformats.org/officeDocument/2006/relationships/hyperlink" Target="https://rbi.org.in/Scripts/NotificationUser.aspx?Id=12490&amp;Mode=0" TargetMode="External"/><Relationship Id="rId32" Type="http://schemas.openxmlformats.org/officeDocument/2006/relationships/hyperlink" Target="https://rbi.org.in/Scripts/BS_ViewMasDirections.aspx?id=12300" TargetMode="External"/><Relationship Id="rId37" Type="http://schemas.openxmlformats.org/officeDocument/2006/relationships/hyperlink" Target="https://rbi.org.in/Scripts/NotificationUser.aspx?Id=11951&amp;Mode=0" TargetMode="External"/><Relationship Id="rId40" Type="http://schemas.openxmlformats.org/officeDocument/2006/relationships/hyperlink" Target="https://www.rbi.org.in/Scripts/NotificationUser.aspx?Id=11580&amp;Mode=0" TargetMode="External"/><Relationship Id="rId45" Type="http://schemas.openxmlformats.org/officeDocument/2006/relationships/hyperlink" Target="https://rbi.org.in/Scripts/BS_ViewMasDirections.aspx?id=11959" TargetMode="External"/><Relationship Id="rId53" Type="http://schemas.openxmlformats.org/officeDocument/2006/relationships/fontTable" Target="fontTable.xml"/><Relationship Id="rId5" Type="http://schemas.openxmlformats.org/officeDocument/2006/relationships/hyperlink" Target="https://rbi.org.in/Scripts/BS_ViewMasDirections.aspx?id=12158" TargetMode="External"/><Relationship Id="rId15" Type="http://schemas.openxmlformats.org/officeDocument/2006/relationships/hyperlink" Target="https://rbi.org.in/Scripts/NotificationUser.aspx?Id=12470&amp;Mode=0" TargetMode="External"/><Relationship Id="rId23" Type="http://schemas.openxmlformats.org/officeDocument/2006/relationships/hyperlink" Target="https://www.rbi.org.in/Scripts/BS_ViewMasCirculardetails.aspx?id=12279" TargetMode="External"/><Relationship Id="rId28" Type="http://schemas.openxmlformats.org/officeDocument/2006/relationships/hyperlink" Target="https://rbi.org.in/Scripts/BS_ViewMasCirculardetails.aspx?id=12283" TargetMode="External"/><Relationship Id="rId36" Type="http://schemas.openxmlformats.org/officeDocument/2006/relationships/hyperlink" Target="https://rbi.org.in/Scripts/NotificationUser.aspx?Id=12493&amp;Mode=0" TargetMode="External"/><Relationship Id="rId49" Type="http://schemas.openxmlformats.org/officeDocument/2006/relationships/hyperlink" Target="https://rbi.org.in/Scripts/NotificationUser.aspx?Id=12515&amp;Mode=0" TargetMode="External"/><Relationship Id="rId10" Type="http://schemas.openxmlformats.org/officeDocument/2006/relationships/hyperlink" Target="https://rbi.org.in/Scripts/NotificationUser.aspx?Id=12467&amp;Mode=0" TargetMode="External"/><Relationship Id="rId19" Type="http://schemas.openxmlformats.org/officeDocument/2006/relationships/hyperlink" Target="https://rbi.org.in/Scripts/NotificationUser.aspx?Id=12471&amp;Mode=0" TargetMode="External"/><Relationship Id="rId31" Type="http://schemas.openxmlformats.org/officeDocument/2006/relationships/hyperlink" Target="https://rbi.org.in/scripts/NotificationUser.aspx?Id=8603&amp;Mode=0" TargetMode="External"/><Relationship Id="rId44" Type="http://schemas.openxmlformats.org/officeDocument/2006/relationships/hyperlink" Target="https://www.rbi.org.in/Scripts/NotificationUser.aspx?Id=11819&amp;Mode=0" TargetMode="External"/><Relationship Id="rId52" Type="http://schemas.openxmlformats.org/officeDocument/2006/relationships/hyperlink" Target="https://rbi.org.in/Scripts/NotificationUser.aspx?Id=12515&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2467&amp;Mode=0" TargetMode="External"/><Relationship Id="rId14" Type="http://schemas.openxmlformats.org/officeDocument/2006/relationships/hyperlink" Target="https://rbi.org.in/Scripts/NotificationUser.aspx?Id=12470&amp;Mode=0" TargetMode="External"/><Relationship Id="rId22" Type="http://schemas.openxmlformats.org/officeDocument/2006/relationships/hyperlink" Target="https://rbi.org.in/Scripts/NotificationUser.aspx?Id=12476&amp;Mode=0" TargetMode="External"/><Relationship Id="rId27" Type="http://schemas.openxmlformats.org/officeDocument/2006/relationships/hyperlink" Target="https://www.rbi.org.in/Scripts/NotificationUser.aspx?Id=12416&amp;Mode=0" TargetMode="External"/><Relationship Id="rId30" Type="http://schemas.openxmlformats.org/officeDocument/2006/relationships/hyperlink" Target="https://rbi.org.in/Scripts/NotificationUser.aspx?Id=12491&amp;Mode=0" TargetMode="External"/><Relationship Id="rId35" Type="http://schemas.openxmlformats.org/officeDocument/2006/relationships/hyperlink" Target="https://rbi.org.in/Scripts/NotificationUser.aspx?Id=12493&amp;Mode=0" TargetMode="External"/><Relationship Id="rId43" Type="http://schemas.openxmlformats.org/officeDocument/2006/relationships/hyperlink" Target="https://rbi.org.in/Scripts/NotificationUser.aspx?Id=12513&amp;Mode=0" TargetMode="External"/><Relationship Id="rId48" Type="http://schemas.openxmlformats.org/officeDocument/2006/relationships/hyperlink" Target="https://rbi.org.in/Scripts/NotificationUser.aspx?Id=12515&amp;Mode=0" TargetMode="External"/><Relationship Id="rId8" Type="http://schemas.openxmlformats.org/officeDocument/2006/relationships/hyperlink" Target="https://rbi.org.in/Scripts/NotificationUser.aspx?Id=12467&amp;Mode=0" TargetMode="External"/><Relationship Id="rId51" Type="http://schemas.openxmlformats.org/officeDocument/2006/relationships/hyperlink" Target="https://www.rbi.org.in/Scripts/NotificationUser.aspx?Id=1187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3785</Words>
  <Characters>21577</Characters>
  <Application>Microsoft Office Word</Application>
  <DocSecurity>0</DocSecurity>
  <Lines>179</Lines>
  <Paragraphs>50</Paragraphs>
  <ScaleCrop>false</ScaleCrop>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6</cp:revision>
  <dcterms:created xsi:type="dcterms:W3CDTF">2023-08-01T17:02:00Z</dcterms:created>
  <dcterms:modified xsi:type="dcterms:W3CDTF">2023-08-02T06:56:00Z</dcterms:modified>
</cp:coreProperties>
</file>